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F631A4" w:rsidP="000639E7">
      <w:pPr>
        <w:widowControl/>
        <w:ind w:left="6096" w:right="-6"/>
        <w:jc w:val="both"/>
        <w:rPr>
          <w:sz w:val="23"/>
          <w:szCs w:val="23"/>
        </w:rPr>
      </w:pPr>
      <w:proofErr w:type="spellStart"/>
      <w:r>
        <w:rPr>
          <w:sz w:val="23"/>
          <w:szCs w:val="23"/>
        </w:rPr>
        <w:t>И.о</w:t>
      </w:r>
      <w:proofErr w:type="spellEnd"/>
      <w:r>
        <w:rPr>
          <w:sz w:val="23"/>
          <w:szCs w:val="23"/>
        </w:rPr>
        <w:t>. п</w:t>
      </w:r>
      <w:r w:rsidR="000639E7" w:rsidRPr="000639E7">
        <w:rPr>
          <w:sz w:val="23"/>
          <w:szCs w:val="23"/>
        </w:rPr>
        <w:t>редседател</w:t>
      </w:r>
      <w:r>
        <w:rPr>
          <w:sz w:val="23"/>
          <w:szCs w:val="23"/>
        </w:rPr>
        <w:t>я</w:t>
      </w:r>
      <w:r w:rsidR="000639E7" w:rsidRPr="000639E7">
        <w:rPr>
          <w:sz w:val="23"/>
          <w:szCs w:val="23"/>
        </w:rPr>
        <w:t xml:space="preserve">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w:t>
      </w:r>
      <w:r w:rsidR="00F631A4">
        <w:rPr>
          <w:sz w:val="23"/>
          <w:szCs w:val="23"/>
        </w:rPr>
        <w:t>О</w:t>
      </w:r>
      <w:r w:rsidRPr="000639E7">
        <w:rPr>
          <w:sz w:val="23"/>
          <w:szCs w:val="23"/>
        </w:rPr>
        <w:t>.</w:t>
      </w:r>
      <w:r w:rsidR="00F631A4">
        <w:rPr>
          <w:sz w:val="23"/>
          <w:szCs w:val="23"/>
        </w:rPr>
        <w:t>В</w:t>
      </w:r>
      <w:r w:rsidRPr="000639E7">
        <w:rPr>
          <w:sz w:val="23"/>
          <w:szCs w:val="23"/>
        </w:rPr>
        <w:t xml:space="preserve">. </w:t>
      </w:r>
      <w:r w:rsidR="00F631A4">
        <w:rPr>
          <w:sz w:val="23"/>
          <w:szCs w:val="23"/>
        </w:rPr>
        <w:t>Александров</w:t>
      </w:r>
    </w:p>
    <w:p w:rsidR="000639E7" w:rsidRPr="000639E7" w:rsidRDefault="00F631A4" w:rsidP="000639E7">
      <w:pPr>
        <w:widowControl/>
        <w:ind w:left="6096" w:right="-6"/>
        <w:jc w:val="both"/>
        <w:rPr>
          <w:sz w:val="23"/>
          <w:szCs w:val="23"/>
        </w:rPr>
      </w:pPr>
      <w:r>
        <w:rPr>
          <w:sz w:val="23"/>
          <w:szCs w:val="23"/>
        </w:rPr>
        <w:t>8</w:t>
      </w:r>
      <w:r w:rsidR="000639E7" w:rsidRPr="000639E7">
        <w:rPr>
          <w:sz w:val="23"/>
          <w:szCs w:val="23"/>
        </w:rPr>
        <w:t xml:space="preserve"> </w:t>
      </w:r>
      <w:r>
        <w:rPr>
          <w:sz w:val="23"/>
          <w:szCs w:val="23"/>
        </w:rPr>
        <w:t>но</w:t>
      </w:r>
      <w:r w:rsidR="00734DE7">
        <w:rPr>
          <w:sz w:val="23"/>
          <w:szCs w:val="23"/>
        </w:rPr>
        <w:t>ября</w:t>
      </w:r>
      <w:r w:rsidR="000639E7" w:rsidRPr="000639E7">
        <w:rPr>
          <w:sz w:val="23"/>
          <w:szCs w:val="23"/>
        </w:rPr>
        <w:t xml:space="preserve"> 201</w:t>
      </w:r>
      <w:r w:rsidR="00BE57F6">
        <w:rPr>
          <w:sz w:val="23"/>
          <w:szCs w:val="23"/>
        </w:rPr>
        <w:t>9</w:t>
      </w:r>
      <w:r w:rsidR="000639E7" w:rsidRPr="000639E7">
        <w:rPr>
          <w:sz w:val="23"/>
          <w:szCs w:val="23"/>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604681">
        <w:rPr>
          <w:b/>
          <w:sz w:val="23"/>
          <w:szCs w:val="23"/>
          <w:u w:val="single"/>
        </w:rPr>
        <w:t>3</w:t>
      </w:r>
      <w:r w:rsidR="00F631A4">
        <w:rPr>
          <w:b/>
          <w:sz w:val="23"/>
          <w:szCs w:val="23"/>
          <w:u w:val="single"/>
        </w:rPr>
        <w:t>62</w:t>
      </w:r>
      <w:r w:rsidRPr="008F4E43">
        <w:rPr>
          <w:b/>
          <w:sz w:val="23"/>
          <w:szCs w:val="23"/>
          <w:u w:val="single"/>
        </w:rPr>
        <w:t xml:space="preserve"> </w:t>
      </w:r>
      <w:r w:rsidR="00F631A4">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8E71BD" w:rsidRPr="008F4E43">
        <w:rPr>
          <w:sz w:val="23"/>
          <w:szCs w:val="23"/>
        </w:rPr>
        <w:t>я</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8E71BD" w:rsidRPr="008F4E43">
        <w:rPr>
          <w:sz w:val="23"/>
          <w:szCs w:val="23"/>
        </w:rPr>
        <w:t>ые</w:t>
      </w:r>
      <w:r w:rsidR="00A15E3C" w:rsidRPr="008F4E43">
        <w:rPr>
          <w:sz w:val="23"/>
          <w:szCs w:val="23"/>
        </w:rPr>
        <w:t xml:space="preserve"> постановлени</w:t>
      </w:r>
      <w:r w:rsidR="008E71BD" w:rsidRPr="008F4E43">
        <w:rPr>
          <w:sz w:val="23"/>
          <w:szCs w:val="23"/>
        </w:rPr>
        <w:t>ями</w:t>
      </w:r>
      <w:r w:rsidR="00A15E3C" w:rsidRPr="008F4E43">
        <w:rPr>
          <w:sz w:val="23"/>
          <w:szCs w:val="23"/>
        </w:rPr>
        <w:t xml:space="preserve"> администрации г. Чебоксары </w:t>
      </w:r>
      <w:r w:rsidR="00866930" w:rsidRPr="008F4E43">
        <w:rPr>
          <w:sz w:val="23"/>
          <w:szCs w:val="23"/>
        </w:rPr>
        <w:t xml:space="preserve">от </w:t>
      </w:r>
      <w:r w:rsidR="00234E53">
        <w:rPr>
          <w:sz w:val="23"/>
          <w:szCs w:val="23"/>
        </w:rPr>
        <w:t>26</w:t>
      </w:r>
      <w:r w:rsidR="008E71BD" w:rsidRPr="008F4E43">
        <w:rPr>
          <w:sz w:val="23"/>
          <w:szCs w:val="23"/>
        </w:rPr>
        <w:t>.0</w:t>
      </w:r>
      <w:r w:rsidR="00234E53">
        <w:rPr>
          <w:sz w:val="23"/>
          <w:szCs w:val="23"/>
        </w:rPr>
        <w:t>7</w:t>
      </w:r>
      <w:r w:rsidR="008E71BD" w:rsidRPr="008F4E43">
        <w:rPr>
          <w:sz w:val="23"/>
          <w:szCs w:val="23"/>
        </w:rPr>
        <w:t>.201</w:t>
      </w:r>
      <w:r w:rsidR="00BE57F6">
        <w:rPr>
          <w:sz w:val="23"/>
          <w:szCs w:val="23"/>
        </w:rPr>
        <w:t>9</w:t>
      </w:r>
      <w:r w:rsidR="00866930" w:rsidRPr="008F4E43">
        <w:rPr>
          <w:sz w:val="23"/>
          <w:szCs w:val="23"/>
        </w:rPr>
        <w:t xml:space="preserve"> </w:t>
      </w:r>
      <w:r w:rsidR="00E57D29" w:rsidRPr="00D876BF">
        <w:rPr>
          <w:sz w:val="23"/>
          <w:szCs w:val="23"/>
        </w:rPr>
        <w:t>№</w:t>
      </w:r>
      <w:r w:rsidR="003109C8" w:rsidRPr="00D876BF">
        <w:rPr>
          <w:sz w:val="23"/>
          <w:szCs w:val="23"/>
        </w:rPr>
        <w:t>№</w:t>
      </w:r>
      <w:r w:rsidR="00B12FDA" w:rsidRPr="00D876BF">
        <w:rPr>
          <w:sz w:val="23"/>
          <w:szCs w:val="23"/>
        </w:rPr>
        <w:t xml:space="preserve"> </w:t>
      </w:r>
      <w:r w:rsidR="00234E53">
        <w:rPr>
          <w:sz w:val="23"/>
          <w:szCs w:val="23"/>
        </w:rPr>
        <w:t>1808, 1809</w:t>
      </w:r>
      <w:r w:rsidR="00D876BF" w:rsidRPr="00D876BF">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4D15F9" w:rsidRPr="004D15F9" w:rsidRDefault="00BE57F6" w:rsidP="004D15F9">
      <w:pPr>
        <w:widowControl/>
        <w:ind w:firstLine="567"/>
        <w:jc w:val="both"/>
        <w:rPr>
          <w:sz w:val="23"/>
          <w:szCs w:val="23"/>
        </w:rPr>
      </w:pPr>
      <w:r w:rsidRPr="00BE57F6">
        <w:rPr>
          <w:b/>
          <w:sz w:val="23"/>
          <w:szCs w:val="23"/>
        </w:rPr>
        <w:lastRenderedPageBreak/>
        <w:t xml:space="preserve">Лот № </w:t>
      </w:r>
      <w:r w:rsidR="00154814">
        <w:rPr>
          <w:b/>
          <w:sz w:val="23"/>
          <w:szCs w:val="23"/>
        </w:rPr>
        <w:t>1</w:t>
      </w:r>
      <w:r w:rsidRPr="00BE57F6">
        <w:rPr>
          <w:sz w:val="23"/>
          <w:szCs w:val="23"/>
        </w:rPr>
        <w:t xml:space="preserve"> – </w:t>
      </w:r>
      <w:r w:rsidR="004D15F9" w:rsidRPr="004D15F9">
        <w:rPr>
          <w:sz w:val="23"/>
          <w:szCs w:val="23"/>
        </w:rPr>
        <w:t>земельный участок площадью 1 597 кв. м с кадастровым номером 21:01:020702:6, с расположенными на нем следующими объектами недвижимого имущества:</w:t>
      </w:r>
    </w:p>
    <w:p w:rsidR="004D15F9" w:rsidRPr="004D15F9" w:rsidRDefault="004D15F9" w:rsidP="004D15F9">
      <w:pPr>
        <w:widowControl/>
        <w:ind w:firstLine="567"/>
        <w:jc w:val="both"/>
        <w:rPr>
          <w:sz w:val="23"/>
          <w:szCs w:val="23"/>
        </w:rPr>
      </w:pPr>
      <w:r w:rsidRPr="004D15F9">
        <w:rPr>
          <w:sz w:val="23"/>
          <w:szCs w:val="23"/>
        </w:rPr>
        <w:t>одноэтажное кирпичное здание (литера А) с одноэтажным кирпичным пристроем (литера А</w:t>
      </w:r>
      <w:proofErr w:type="gramStart"/>
      <w:r w:rsidRPr="004D15F9">
        <w:rPr>
          <w:sz w:val="23"/>
          <w:szCs w:val="23"/>
        </w:rPr>
        <w:t>1</w:t>
      </w:r>
      <w:proofErr w:type="gramEnd"/>
      <w:r w:rsidRPr="004D15F9">
        <w:rPr>
          <w:sz w:val="23"/>
          <w:szCs w:val="23"/>
        </w:rPr>
        <w:t xml:space="preserve">), сооружения (литеры I, II, III, IV, V, VI), общей площадью 317,7 кв. м, находящееся по адресу: г. Чебоксары, ул. Гладкова, д. 23 б; </w:t>
      </w:r>
    </w:p>
    <w:p w:rsidR="004D15F9" w:rsidRPr="004D15F9" w:rsidRDefault="004D15F9" w:rsidP="004D15F9">
      <w:pPr>
        <w:widowControl/>
        <w:ind w:firstLine="567"/>
        <w:jc w:val="both"/>
        <w:rPr>
          <w:sz w:val="23"/>
          <w:szCs w:val="23"/>
        </w:rPr>
      </w:pPr>
      <w:r w:rsidRPr="004D15F9">
        <w:rPr>
          <w:sz w:val="23"/>
          <w:szCs w:val="23"/>
        </w:rPr>
        <w:t>автоматическая пожарная сигнализация;</w:t>
      </w:r>
    </w:p>
    <w:p w:rsidR="004D15F9" w:rsidRPr="004D15F9" w:rsidRDefault="004D15F9" w:rsidP="004D15F9">
      <w:pPr>
        <w:widowControl/>
        <w:ind w:firstLine="567"/>
        <w:jc w:val="both"/>
        <w:rPr>
          <w:sz w:val="23"/>
          <w:szCs w:val="23"/>
        </w:rPr>
      </w:pPr>
      <w:r w:rsidRPr="004D15F9">
        <w:rPr>
          <w:sz w:val="23"/>
          <w:szCs w:val="23"/>
        </w:rPr>
        <w:t>газоанализатор метана СГГ-6М;</w:t>
      </w:r>
    </w:p>
    <w:p w:rsidR="004D15F9" w:rsidRPr="004D15F9" w:rsidRDefault="004D15F9" w:rsidP="004D15F9">
      <w:pPr>
        <w:widowControl/>
        <w:ind w:firstLine="567"/>
        <w:jc w:val="both"/>
        <w:rPr>
          <w:sz w:val="23"/>
          <w:szCs w:val="23"/>
        </w:rPr>
      </w:pPr>
      <w:r w:rsidRPr="004D15F9">
        <w:rPr>
          <w:sz w:val="23"/>
          <w:szCs w:val="23"/>
        </w:rPr>
        <w:t>газоанализатор метана СГГ-6М;</w:t>
      </w:r>
    </w:p>
    <w:p w:rsidR="004D15F9" w:rsidRPr="004D15F9" w:rsidRDefault="004D15F9" w:rsidP="004D15F9">
      <w:pPr>
        <w:widowControl/>
        <w:ind w:firstLine="567"/>
        <w:jc w:val="both"/>
        <w:rPr>
          <w:sz w:val="23"/>
          <w:szCs w:val="23"/>
        </w:rPr>
      </w:pPr>
      <w:r w:rsidRPr="004D15F9">
        <w:rPr>
          <w:sz w:val="23"/>
          <w:szCs w:val="23"/>
        </w:rPr>
        <w:t>газовый счетчик ВРСГ-1-80;</w:t>
      </w:r>
    </w:p>
    <w:p w:rsidR="004D15F9" w:rsidRPr="004D15F9" w:rsidRDefault="004D15F9" w:rsidP="004D15F9">
      <w:pPr>
        <w:widowControl/>
        <w:ind w:firstLine="567"/>
        <w:jc w:val="both"/>
        <w:rPr>
          <w:sz w:val="23"/>
          <w:szCs w:val="23"/>
        </w:rPr>
      </w:pPr>
      <w:r w:rsidRPr="004D15F9">
        <w:rPr>
          <w:sz w:val="23"/>
          <w:szCs w:val="23"/>
        </w:rPr>
        <w:t>охранная сигнализация;</w:t>
      </w:r>
    </w:p>
    <w:p w:rsidR="004D15F9" w:rsidRPr="004D15F9" w:rsidRDefault="004D15F9" w:rsidP="004D15F9">
      <w:pPr>
        <w:widowControl/>
        <w:ind w:firstLine="567"/>
        <w:jc w:val="both"/>
        <w:rPr>
          <w:sz w:val="23"/>
          <w:szCs w:val="23"/>
        </w:rPr>
      </w:pPr>
      <w:r w:rsidRPr="004D15F9">
        <w:rPr>
          <w:sz w:val="23"/>
          <w:szCs w:val="23"/>
        </w:rPr>
        <w:t>счетчик тепловой ВКТ-7;</w:t>
      </w:r>
    </w:p>
    <w:p w:rsidR="004D15F9" w:rsidRPr="004D15F9" w:rsidRDefault="004D15F9" w:rsidP="004D15F9">
      <w:pPr>
        <w:widowControl/>
        <w:ind w:firstLine="567"/>
        <w:jc w:val="both"/>
        <w:rPr>
          <w:sz w:val="23"/>
          <w:szCs w:val="23"/>
        </w:rPr>
      </w:pPr>
      <w:r w:rsidRPr="004D15F9">
        <w:rPr>
          <w:sz w:val="23"/>
          <w:szCs w:val="23"/>
        </w:rPr>
        <w:t>электронный расходомер УРЖ2КМ;</w:t>
      </w:r>
    </w:p>
    <w:p w:rsidR="004D15F9" w:rsidRPr="004D15F9" w:rsidRDefault="004D15F9" w:rsidP="004D15F9">
      <w:pPr>
        <w:widowControl/>
        <w:ind w:firstLine="567"/>
        <w:jc w:val="both"/>
        <w:rPr>
          <w:sz w:val="23"/>
          <w:szCs w:val="23"/>
        </w:rPr>
      </w:pPr>
      <w:r w:rsidRPr="004D15F9">
        <w:rPr>
          <w:sz w:val="23"/>
          <w:szCs w:val="23"/>
        </w:rPr>
        <w:t>котел Энергия-3 со вспомогательным оборудованием;</w:t>
      </w:r>
    </w:p>
    <w:p w:rsidR="004D15F9" w:rsidRPr="004D15F9" w:rsidRDefault="004D15F9" w:rsidP="004D15F9">
      <w:pPr>
        <w:widowControl/>
        <w:ind w:firstLine="567"/>
        <w:jc w:val="both"/>
        <w:rPr>
          <w:sz w:val="23"/>
          <w:szCs w:val="23"/>
        </w:rPr>
      </w:pPr>
      <w:r w:rsidRPr="004D15F9">
        <w:rPr>
          <w:sz w:val="23"/>
          <w:szCs w:val="23"/>
        </w:rPr>
        <w:t>котел Энергия-3;</w:t>
      </w:r>
    </w:p>
    <w:p w:rsidR="004D15F9" w:rsidRPr="004D15F9" w:rsidRDefault="004D15F9" w:rsidP="004D15F9">
      <w:pPr>
        <w:widowControl/>
        <w:ind w:firstLine="567"/>
        <w:jc w:val="both"/>
        <w:rPr>
          <w:sz w:val="23"/>
          <w:szCs w:val="23"/>
        </w:rPr>
      </w:pPr>
      <w:r w:rsidRPr="004D15F9">
        <w:rPr>
          <w:sz w:val="23"/>
          <w:szCs w:val="23"/>
        </w:rPr>
        <w:t>котел Энергия водогрейный;</w:t>
      </w:r>
    </w:p>
    <w:p w:rsidR="004D15F9" w:rsidRPr="004D15F9" w:rsidRDefault="004D15F9" w:rsidP="004D15F9">
      <w:pPr>
        <w:widowControl/>
        <w:ind w:firstLine="567"/>
        <w:jc w:val="both"/>
        <w:rPr>
          <w:sz w:val="23"/>
          <w:szCs w:val="23"/>
        </w:rPr>
      </w:pPr>
      <w:r w:rsidRPr="004D15F9">
        <w:rPr>
          <w:sz w:val="23"/>
          <w:szCs w:val="23"/>
        </w:rPr>
        <w:t>котел Энергия-3 водогрейный;</w:t>
      </w:r>
    </w:p>
    <w:p w:rsidR="004D15F9" w:rsidRPr="004D15F9" w:rsidRDefault="004D15F9" w:rsidP="004D15F9">
      <w:pPr>
        <w:widowControl/>
        <w:ind w:firstLine="567"/>
        <w:jc w:val="both"/>
        <w:rPr>
          <w:sz w:val="23"/>
          <w:szCs w:val="23"/>
        </w:rPr>
      </w:pPr>
      <w:r w:rsidRPr="004D15F9">
        <w:rPr>
          <w:sz w:val="23"/>
          <w:szCs w:val="23"/>
        </w:rPr>
        <w:t>котел Энергия-3 водогрейный;</w:t>
      </w:r>
    </w:p>
    <w:p w:rsidR="004D15F9" w:rsidRPr="004D15F9" w:rsidRDefault="004D15F9" w:rsidP="004D15F9">
      <w:pPr>
        <w:widowControl/>
        <w:ind w:firstLine="567"/>
        <w:jc w:val="both"/>
        <w:rPr>
          <w:sz w:val="23"/>
          <w:szCs w:val="23"/>
        </w:rPr>
      </w:pPr>
      <w:r w:rsidRPr="004D15F9">
        <w:rPr>
          <w:sz w:val="23"/>
          <w:szCs w:val="23"/>
        </w:rPr>
        <w:t>котел Энергия-3 водогрейный;</w:t>
      </w:r>
    </w:p>
    <w:p w:rsidR="004D15F9" w:rsidRPr="004D15F9" w:rsidRDefault="004D15F9" w:rsidP="004D15F9">
      <w:pPr>
        <w:widowControl/>
        <w:ind w:firstLine="567"/>
        <w:jc w:val="both"/>
        <w:rPr>
          <w:sz w:val="23"/>
          <w:szCs w:val="23"/>
        </w:rPr>
      </w:pPr>
      <w:r w:rsidRPr="004D15F9">
        <w:rPr>
          <w:sz w:val="23"/>
          <w:szCs w:val="23"/>
        </w:rPr>
        <w:t>котел Энергия-3 водогрейный;</w:t>
      </w:r>
    </w:p>
    <w:p w:rsidR="004D15F9" w:rsidRPr="004D15F9" w:rsidRDefault="004D15F9" w:rsidP="004D15F9">
      <w:pPr>
        <w:widowControl/>
        <w:ind w:firstLine="567"/>
        <w:jc w:val="both"/>
        <w:rPr>
          <w:sz w:val="23"/>
          <w:szCs w:val="23"/>
        </w:rPr>
      </w:pPr>
      <w:r w:rsidRPr="004D15F9">
        <w:rPr>
          <w:sz w:val="23"/>
          <w:szCs w:val="23"/>
        </w:rPr>
        <w:t>котел Энергия-3 паровой;</w:t>
      </w:r>
    </w:p>
    <w:p w:rsidR="004D15F9" w:rsidRPr="004D15F9" w:rsidRDefault="004D15F9" w:rsidP="004D15F9">
      <w:pPr>
        <w:widowControl/>
        <w:ind w:firstLine="567"/>
        <w:jc w:val="both"/>
        <w:rPr>
          <w:sz w:val="23"/>
          <w:szCs w:val="23"/>
        </w:rPr>
      </w:pPr>
      <w:r w:rsidRPr="004D15F9">
        <w:rPr>
          <w:sz w:val="23"/>
          <w:szCs w:val="23"/>
        </w:rPr>
        <w:t>котел Энергия-3 паровой;</w:t>
      </w:r>
    </w:p>
    <w:p w:rsidR="004D15F9" w:rsidRPr="004D15F9" w:rsidRDefault="004D15F9" w:rsidP="004D15F9">
      <w:pPr>
        <w:widowControl/>
        <w:ind w:firstLine="567"/>
        <w:jc w:val="both"/>
        <w:rPr>
          <w:sz w:val="23"/>
          <w:szCs w:val="23"/>
        </w:rPr>
      </w:pPr>
      <w:r w:rsidRPr="004D15F9">
        <w:rPr>
          <w:sz w:val="23"/>
          <w:szCs w:val="23"/>
        </w:rPr>
        <w:t>насос 8К-12;</w:t>
      </w:r>
    </w:p>
    <w:p w:rsidR="004D15F9" w:rsidRPr="004D15F9" w:rsidRDefault="004D15F9" w:rsidP="004D15F9">
      <w:pPr>
        <w:widowControl/>
        <w:ind w:firstLine="567"/>
        <w:jc w:val="both"/>
        <w:rPr>
          <w:sz w:val="23"/>
          <w:szCs w:val="23"/>
        </w:rPr>
      </w:pPr>
      <w:r w:rsidRPr="004D15F9">
        <w:rPr>
          <w:sz w:val="23"/>
          <w:szCs w:val="23"/>
        </w:rPr>
        <w:t>насос 8К-12;</w:t>
      </w:r>
    </w:p>
    <w:p w:rsidR="004D15F9" w:rsidRPr="004D15F9" w:rsidRDefault="004D15F9" w:rsidP="004D15F9">
      <w:pPr>
        <w:widowControl/>
        <w:ind w:firstLine="567"/>
        <w:jc w:val="both"/>
        <w:rPr>
          <w:sz w:val="23"/>
          <w:szCs w:val="23"/>
        </w:rPr>
      </w:pPr>
      <w:r w:rsidRPr="004D15F9">
        <w:rPr>
          <w:sz w:val="23"/>
          <w:szCs w:val="23"/>
        </w:rPr>
        <w:t>насос 8К-18;</w:t>
      </w:r>
    </w:p>
    <w:p w:rsidR="004D15F9" w:rsidRPr="004D15F9" w:rsidRDefault="004D15F9" w:rsidP="004D15F9">
      <w:pPr>
        <w:widowControl/>
        <w:ind w:firstLine="567"/>
        <w:jc w:val="both"/>
        <w:rPr>
          <w:sz w:val="23"/>
          <w:szCs w:val="23"/>
        </w:rPr>
      </w:pPr>
      <w:r w:rsidRPr="004D15F9">
        <w:rPr>
          <w:sz w:val="23"/>
          <w:szCs w:val="23"/>
        </w:rPr>
        <w:t>насос К-80-65-100;</w:t>
      </w:r>
    </w:p>
    <w:p w:rsidR="004D15F9" w:rsidRPr="004D15F9" w:rsidRDefault="004D15F9" w:rsidP="004D15F9">
      <w:pPr>
        <w:widowControl/>
        <w:ind w:firstLine="567"/>
        <w:jc w:val="both"/>
        <w:rPr>
          <w:sz w:val="23"/>
          <w:szCs w:val="23"/>
        </w:rPr>
      </w:pPr>
      <w:r w:rsidRPr="004D15F9">
        <w:rPr>
          <w:sz w:val="23"/>
          <w:szCs w:val="23"/>
        </w:rPr>
        <w:t>прибор АМКО-К-1;</w:t>
      </w:r>
    </w:p>
    <w:p w:rsidR="004D15F9" w:rsidRPr="004D15F9" w:rsidRDefault="004D15F9" w:rsidP="004D15F9">
      <w:pPr>
        <w:widowControl/>
        <w:ind w:firstLine="567"/>
        <w:jc w:val="both"/>
        <w:rPr>
          <w:sz w:val="23"/>
          <w:szCs w:val="23"/>
        </w:rPr>
      </w:pPr>
      <w:r w:rsidRPr="004D15F9">
        <w:rPr>
          <w:sz w:val="23"/>
          <w:szCs w:val="23"/>
        </w:rPr>
        <w:t>прибор АМКО-К-1;</w:t>
      </w:r>
    </w:p>
    <w:p w:rsidR="004D15F9" w:rsidRPr="004D15F9" w:rsidRDefault="004D15F9" w:rsidP="004D15F9">
      <w:pPr>
        <w:widowControl/>
        <w:ind w:firstLine="567"/>
        <w:jc w:val="both"/>
        <w:rPr>
          <w:sz w:val="23"/>
          <w:szCs w:val="23"/>
        </w:rPr>
      </w:pPr>
      <w:r w:rsidRPr="004D15F9">
        <w:rPr>
          <w:sz w:val="23"/>
          <w:szCs w:val="23"/>
        </w:rPr>
        <w:t>прибор АМКО-К-2;</w:t>
      </w:r>
    </w:p>
    <w:p w:rsidR="004D15F9" w:rsidRPr="004D15F9" w:rsidRDefault="004D15F9" w:rsidP="004D15F9">
      <w:pPr>
        <w:widowControl/>
        <w:ind w:firstLine="567"/>
        <w:jc w:val="both"/>
        <w:rPr>
          <w:sz w:val="23"/>
          <w:szCs w:val="23"/>
        </w:rPr>
      </w:pPr>
      <w:r w:rsidRPr="004D15F9">
        <w:rPr>
          <w:sz w:val="23"/>
          <w:szCs w:val="23"/>
        </w:rPr>
        <w:t>прибор АМКО-К-2;</w:t>
      </w:r>
    </w:p>
    <w:p w:rsidR="004D15F9" w:rsidRPr="004D15F9" w:rsidRDefault="004D15F9" w:rsidP="004D15F9">
      <w:pPr>
        <w:widowControl/>
        <w:ind w:firstLine="567"/>
        <w:jc w:val="both"/>
        <w:rPr>
          <w:sz w:val="23"/>
          <w:szCs w:val="23"/>
        </w:rPr>
      </w:pPr>
      <w:r w:rsidRPr="004D15F9">
        <w:rPr>
          <w:sz w:val="23"/>
          <w:szCs w:val="23"/>
        </w:rPr>
        <w:t>прибор АМКО-К-2;</w:t>
      </w:r>
    </w:p>
    <w:p w:rsidR="004D15F9" w:rsidRPr="004D15F9" w:rsidRDefault="004D15F9" w:rsidP="004D15F9">
      <w:pPr>
        <w:widowControl/>
        <w:ind w:firstLine="567"/>
        <w:jc w:val="both"/>
        <w:rPr>
          <w:sz w:val="23"/>
          <w:szCs w:val="23"/>
        </w:rPr>
      </w:pPr>
      <w:r w:rsidRPr="004D15F9">
        <w:rPr>
          <w:sz w:val="23"/>
          <w:szCs w:val="23"/>
        </w:rPr>
        <w:t>фильтр;</w:t>
      </w:r>
    </w:p>
    <w:p w:rsidR="004D15F9" w:rsidRPr="004D15F9" w:rsidRDefault="004D15F9" w:rsidP="004D15F9">
      <w:pPr>
        <w:widowControl/>
        <w:ind w:firstLine="567"/>
        <w:jc w:val="both"/>
        <w:rPr>
          <w:sz w:val="23"/>
          <w:szCs w:val="23"/>
        </w:rPr>
      </w:pPr>
      <w:r w:rsidRPr="004D15F9">
        <w:rPr>
          <w:sz w:val="23"/>
          <w:szCs w:val="23"/>
        </w:rPr>
        <w:t>дымовая труба металлическая кот. 6-Ц, Гладкова, 23б;</w:t>
      </w:r>
    </w:p>
    <w:p w:rsidR="004D15F9" w:rsidRPr="004D15F9" w:rsidRDefault="004D15F9" w:rsidP="004D15F9">
      <w:pPr>
        <w:widowControl/>
        <w:ind w:firstLine="567"/>
        <w:jc w:val="both"/>
        <w:rPr>
          <w:sz w:val="23"/>
          <w:szCs w:val="23"/>
        </w:rPr>
      </w:pPr>
      <w:r w:rsidRPr="004D15F9">
        <w:rPr>
          <w:sz w:val="23"/>
          <w:szCs w:val="23"/>
        </w:rPr>
        <w:t>прибор АМКО-К-2;</w:t>
      </w:r>
    </w:p>
    <w:p w:rsidR="004D15F9" w:rsidRPr="004D15F9" w:rsidRDefault="004D15F9" w:rsidP="004D15F9">
      <w:pPr>
        <w:widowControl/>
        <w:ind w:firstLine="567"/>
        <w:jc w:val="both"/>
        <w:rPr>
          <w:sz w:val="23"/>
          <w:szCs w:val="23"/>
        </w:rPr>
      </w:pPr>
      <w:r w:rsidRPr="004D15F9">
        <w:rPr>
          <w:sz w:val="23"/>
          <w:szCs w:val="23"/>
        </w:rPr>
        <w:t>насос с эл. двигателем 2-К-6;</w:t>
      </w:r>
    </w:p>
    <w:p w:rsidR="004D15F9" w:rsidRPr="004D15F9" w:rsidRDefault="004D15F9" w:rsidP="004D15F9">
      <w:pPr>
        <w:widowControl/>
        <w:ind w:firstLine="567"/>
        <w:jc w:val="both"/>
        <w:rPr>
          <w:sz w:val="23"/>
          <w:szCs w:val="23"/>
        </w:rPr>
      </w:pPr>
      <w:r w:rsidRPr="004D15F9">
        <w:rPr>
          <w:sz w:val="23"/>
          <w:szCs w:val="23"/>
        </w:rPr>
        <w:t>насос с эл. двигателем 2-К-6;</w:t>
      </w:r>
    </w:p>
    <w:p w:rsidR="00BE57F6" w:rsidRPr="00BE57F6" w:rsidRDefault="004D15F9" w:rsidP="004D15F9">
      <w:pPr>
        <w:widowControl/>
        <w:ind w:firstLine="567"/>
        <w:jc w:val="both"/>
        <w:rPr>
          <w:sz w:val="23"/>
          <w:szCs w:val="23"/>
        </w:rPr>
      </w:pPr>
      <w:r w:rsidRPr="004D15F9">
        <w:rPr>
          <w:sz w:val="23"/>
          <w:szCs w:val="23"/>
        </w:rPr>
        <w:t>насос с эл. двигателем 2-К-6</w:t>
      </w:r>
      <w:r w:rsidR="00BE57F6" w:rsidRPr="00BE57F6">
        <w:rPr>
          <w:sz w:val="23"/>
          <w:szCs w:val="23"/>
        </w:rPr>
        <w:t>.</w:t>
      </w:r>
    </w:p>
    <w:p w:rsidR="00BE57F6" w:rsidRDefault="00BE57F6" w:rsidP="00BE57F6">
      <w:pPr>
        <w:widowControl/>
        <w:ind w:firstLine="567"/>
        <w:jc w:val="both"/>
        <w:rPr>
          <w:sz w:val="23"/>
          <w:szCs w:val="23"/>
        </w:rPr>
      </w:pPr>
      <w:r w:rsidRPr="00BE57F6">
        <w:rPr>
          <w:sz w:val="23"/>
          <w:szCs w:val="23"/>
        </w:rPr>
        <w:t xml:space="preserve">Начальная цена продажи – </w:t>
      </w:r>
      <w:r w:rsidR="004D15F9" w:rsidRPr="004D15F9">
        <w:rPr>
          <w:sz w:val="23"/>
          <w:szCs w:val="23"/>
        </w:rPr>
        <w:t>4 947 000 (Четыре миллиона девятьсот сорок семь тысяч) рублей</w:t>
      </w:r>
      <w:r w:rsidRPr="00BE57F6">
        <w:rPr>
          <w:sz w:val="23"/>
          <w:szCs w:val="23"/>
        </w:rPr>
        <w:t xml:space="preserve">. </w:t>
      </w:r>
    </w:p>
    <w:p w:rsidR="004E50EA" w:rsidRPr="004E50EA" w:rsidRDefault="004E50EA" w:rsidP="004E50EA">
      <w:pPr>
        <w:widowControl/>
        <w:ind w:firstLine="567"/>
        <w:jc w:val="both"/>
        <w:rPr>
          <w:sz w:val="23"/>
          <w:szCs w:val="23"/>
        </w:rPr>
      </w:pPr>
      <w:r w:rsidRPr="004E50EA">
        <w:rPr>
          <w:sz w:val="23"/>
          <w:szCs w:val="23"/>
        </w:rPr>
        <w:t xml:space="preserve">Минимальная цена предложения (цена отсечения) – </w:t>
      </w:r>
      <w:r w:rsidR="004D15F9" w:rsidRPr="004D15F9">
        <w:rPr>
          <w:sz w:val="23"/>
          <w:szCs w:val="23"/>
        </w:rPr>
        <w:t>2 473 500 (Два миллиона четыреста семьдесят три тысячи пятьсот) рублей</w:t>
      </w:r>
      <w:r w:rsidRPr="004E50EA">
        <w:rPr>
          <w:sz w:val="23"/>
          <w:szCs w:val="23"/>
        </w:rPr>
        <w:t>.</w:t>
      </w:r>
    </w:p>
    <w:p w:rsidR="004E50EA" w:rsidRPr="00BE57F6" w:rsidRDefault="004E50EA" w:rsidP="004E50EA">
      <w:pPr>
        <w:widowControl/>
        <w:ind w:firstLine="567"/>
        <w:jc w:val="both"/>
        <w:rPr>
          <w:sz w:val="23"/>
          <w:szCs w:val="23"/>
        </w:rPr>
      </w:pPr>
      <w:r w:rsidRPr="004E50EA">
        <w:rPr>
          <w:sz w:val="23"/>
          <w:szCs w:val="23"/>
        </w:rPr>
        <w:t xml:space="preserve">Величина снижения цены (шаг понижения) – </w:t>
      </w:r>
      <w:r w:rsidR="00450226" w:rsidRPr="00450226">
        <w:rPr>
          <w:sz w:val="23"/>
          <w:szCs w:val="23"/>
        </w:rPr>
        <w:t>494 700 (Четыреста девяносто четыре тысячи семьсот) рублей</w:t>
      </w:r>
      <w:r w:rsidRPr="004E50EA">
        <w:rPr>
          <w:sz w:val="23"/>
          <w:szCs w:val="23"/>
        </w:rPr>
        <w:t>.</w:t>
      </w:r>
    </w:p>
    <w:p w:rsidR="00BE57F6" w:rsidRPr="00BE57F6" w:rsidRDefault="00D3739C" w:rsidP="00BE57F6">
      <w:pPr>
        <w:widowControl/>
        <w:ind w:firstLine="567"/>
        <w:jc w:val="both"/>
        <w:rPr>
          <w:sz w:val="23"/>
          <w:szCs w:val="23"/>
        </w:rPr>
      </w:pPr>
      <w:r w:rsidRPr="00D3739C">
        <w:rPr>
          <w:sz w:val="23"/>
          <w:szCs w:val="23"/>
        </w:rPr>
        <w:t xml:space="preserve">Величина повышения цены (шаг аукциона) </w:t>
      </w:r>
      <w:r w:rsidR="00BE57F6" w:rsidRPr="00BE57F6">
        <w:rPr>
          <w:sz w:val="23"/>
          <w:szCs w:val="23"/>
        </w:rPr>
        <w:t xml:space="preserve">– </w:t>
      </w:r>
      <w:r w:rsidR="00450226" w:rsidRPr="00450226">
        <w:rPr>
          <w:sz w:val="23"/>
          <w:szCs w:val="23"/>
        </w:rPr>
        <w:t>247 350 (Двести сорок семь тысяч триста пятьдесят) рублей</w:t>
      </w:r>
      <w:r w:rsidR="00BE57F6" w:rsidRPr="00BE57F6">
        <w:rPr>
          <w:sz w:val="23"/>
          <w:szCs w:val="23"/>
        </w:rPr>
        <w:t>.</w:t>
      </w:r>
    </w:p>
    <w:p w:rsidR="004E50EA" w:rsidRDefault="00D3739C" w:rsidP="004E50EA">
      <w:pPr>
        <w:widowControl/>
        <w:ind w:firstLine="567"/>
        <w:jc w:val="both"/>
        <w:rPr>
          <w:sz w:val="23"/>
          <w:szCs w:val="23"/>
        </w:rPr>
      </w:pPr>
      <w:r w:rsidRPr="00D3739C">
        <w:rPr>
          <w:sz w:val="23"/>
          <w:szCs w:val="23"/>
        </w:rPr>
        <w:t>Величина</w:t>
      </w:r>
      <w:r w:rsidR="004E50EA" w:rsidRPr="00BE57F6">
        <w:rPr>
          <w:sz w:val="23"/>
          <w:szCs w:val="23"/>
        </w:rPr>
        <w:t xml:space="preserve"> задатка – </w:t>
      </w:r>
      <w:r w:rsidR="00450226" w:rsidRPr="00450226">
        <w:rPr>
          <w:sz w:val="23"/>
          <w:szCs w:val="23"/>
        </w:rPr>
        <w:t>989 400 (Девятьсот восемьдесят девять тысяч четыреста) рублей</w:t>
      </w:r>
      <w:r w:rsidR="004E50EA" w:rsidRPr="00BE57F6">
        <w:rPr>
          <w:sz w:val="23"/>
          <w:szCs w:val="23"/>
        </w:rPr>
        <w:t>.</w:t>
      </w:r>
    </w:p>
    <w:p w:rsidR="004E50EA" w:rsidRDefault="004E50EA" w:rsidP="004E50EA">
      <w:pPr>
        <w:widowControl/>
        <w:ind w:firstLine="567"/>
        <w:jc w:val="both"/>
        <w:rPr>
          <w:sz w:val="23"/>
          <w:szCs w:val="23"/>
        </w:rPr>
      </w:pPr>
    </w:p>
    <w:p w:rsidR="00450226" w:rsidRPr="00450226" w:rsidRDefault="00450226" w:rsidP="00450226">
      <w:pPr>
        <w:widowControl/>
        <w:ind w:firstLine="567"/>
        <w:jc w:val="both"/>
        <w:rPr>
          <w:sz w:val="23"/>
          <w:szCs w:val="23"/>
        </w:rPr>
      </w:pPr>
      <w:r w:rsidRPr="00BE57F6">
        <w:rPr>
          <w:b/>
          <w:sz w:val="23"/>
          <w:szCs w:val="23"/>
        </w:rPr>
        <w:t xml:space="preserve">Лот № </w:t>
      </w:r>
      <w:r w:rsidR="00154814">
        <w:rPr>
          <w:b/>
          <w:sz w:val="23"/>
          <w:szCs w:val="23"/>
        </w:rPr>
        <w:t>2</w:t>
      </w:r>
      <w:r w:rsidRPr="00BE57F6">
        <w:rPr>
          <w:sz w:val="23"/>
          <w:szCs w:val="23"/>
        </w:rPr>
        <w:t xml:space="preserve"> – </w:t>
      </w:r>
      <w:r w:rsidRPr="00450226">
        <w:rPr>
          <w:sz w:val="23"/>
          <w:szCs w:val="23"/>
        </w:rPr>
        <w:t>земельный участок площадью 1 651 кв. м с кадастровым номером 21:01:010106:36, с расположенными на нем следующими объектами недвижимого имущества:</w:t>
      </w:r>
    </w:p>
    <w:p w:rsidR="00450226" w:rsidRPr="00450226" w:rsidRDefault="00450226" w:rsidP="00450226">
      <w:pPr>
        <w:widowControl/>
        <w:ind w:firstLine="567"/>
        <w:jc w:val="both"/>
        <w:rPr>
          <w:sz w:val="23"/>
          <w:szCs w:val="23"/>
        </w:rPr>
      </w:pPr>
      <w:r w:rsidRPr="00450226">
        <w:rPr>
          <w:sz w:val="23"/>
          <w:szCs w:val="23"/>
        </w:rPr>
        <w:t>одноэтажное панельное здание с антресолью (литера А), двухэтажным панельным пристроем (литера А</w:t>
      </w:r>
      <w:proofErr w:type="gramStart"/>
      <w:r w:rsidRPr="00450226">
        <w:rPr>
          <w:sz w:val="23"/>
          <w:szCs w:val="23"/>
        </w:rPr>
        <w:t>1</w:t>
      </w:r>
      <w:proofErr w:type="gramEnd"/>
      <w:r w:rsidRPr="00450226">
        <w:rPr>
          <w:sz w:val="23"/>
          <w:szCs w:val="23"/>
        </w:rPr>
        <w:t xml:space="preserve">), кирпичным тамбуром (литера а1), сооружения (литеры I, II, III, IV), общей площадью 644,7 кв. м, находящееся по адресу: г. Чебоксары, ул. </w:t>
      </w:r>
      <w:proofErr w:type="spellStart"/>
      <w:r w:rsidRPr="00450226">
        <w:rPr>
          <w:sz w:val="23"/>
          <w:szCs w:val="23"/>
        </w:rPr>
        <w:t>Ахазова</w:t>
      </w:r>
      <w:proofErr w:type="spellEnd"/>
      <w:r w:rsidRPr="00450226">
        <w:rPr>
          <w:sz w:val="23"/>
          <w:szCs w:val="23"/>
        </w:rPr>
        <w:t xml:space="preserve">, д. 2 б; </w:t>
      </w:r>
    </w:p>
    <w:p w:rsidR="00450226" w:rsidRPr="00450226" w:rsidRDefault="00450226" w:rsidP="00450226">
      <w:pPr>
        <w:widowControl/>
        <w:ind w:firstLine="567"/>
        <w:jc w:val="both"/>
        <w:rPr>
          <w:sz w:val="23"/>
          <w:szCs w:val="23"/>
        </w:rPr>
      </w:pPr>
      <w:r w:rsidRPr="00450226">
        <w:rPr>
          <w:sz w:val="23"/>
          <w:szCs w:val="23"/>
        </w:rPr>
        <w:t>автоматическая пожарная сигнализация;</w:t>
      </w:r>
    </w:p>
    <w:p w:rsidR="00450226" w:rsidRPr="00450226" w:rsidRDefault="00450226" w:rsidP="00450226">
      <w:pPr>
        <w:widowControl/>
        <w:ind w:firstLine="567"/>
        <w:jc w:val="both"/>
        <w:rPr>
          <w:sz w:val="23"/>
          <w:szCs w:val="23"/>
        </w:rPr>
      </w:pPr>
      <w:r w:rsidRPr="00450226">
        <w:rPr>
          <w:sz w:val="23"/>
          <w:szCs w:val="23"/>
        </w:rPr>
        <w:t xml:space="preserve">дымовая труба металлическая кот. СЗР-3, </w:t>
      </w:r>
      <w:proofErr w:type="spellStart"/>
      <w:r w:rsidRPr="00450226">
        <w:rPr>
          <w:sz w:val="23"/>
          <w:szCs w:val="23"/>
        </w:rPr>
        <w:t>Ахазова</w:t>
      </w:r>
      <w:proofErr w:type="spellEnd"/>
      <w:r w:rsidRPr="00450226">
        <w:rPr>
          <w:sz w:val="23"/>
          <w:szCs w:val="23"/>
        </w:rPr>
        <w:t>, 2б;</w:t>
      </w:r>
    </w:p>
    <w:p w:rsidR="00450226" w:rsidRPr="00450226" w:rsidRDefault="00450226" w:rsidP="00450226">
      <w:pPr>
        <w:widowControl/>
        <w:ind w:firstLine="567"/>
        <w:jc w:val="both"/>
        <w:rPr>
          <w:sz w:val="23"/>
          <w:szCs w:val="23"/>
        </w:rPr>
      </w:pPr>
      <w:r w:rsidRPr="00450226">
        <w:rPr>
          <w:sz w:val="23"/>
          <w:szCs w:val="23"/>
        </w:rPr>
        <w:t>дымосос ДН-12,5;</w:t>
      </w:r>
    </w:p>
    <w:p w:rsidR="00450226" w:rsidRPr="00450226" w:rsidRDefault="00450226" w:rsidP="00450226">
      <w:pPr>
        <w:widowControl/>
        <w:ind w:firstLine="567"/>
        <w:jc w:val="both"/>
        <w:rPr>
          <w:sz w:val="23"/>
          <w:szCs w:val="23"/>
        </w:rPr>
      </w:pPr>
      <w:r w:rsidRPr="00450226">
        <w:rPr>
          <w:sz w:val="23"/>
          <w:szCs w:val="23"/>
        </w:rPr>
        <w:t>вентилятор У-14-46;</w:t>
      </w:r>
    </w:p>
    <w:p w:rsidR="00450226" w:rsidRPr="00450226" w:rsidRDefault="00450226" w:rsidP="00450226">
      <w:pPr>
        <w:widowControl/>
        <w:ind w:firstLine="567"/>
        <w:jc w:val="both"/>
        <w:rPr>
          <w:sz w:val="23"/>
          <w:szCs w:val="23"/>
        </w:rPr>
      </w:pPr>
      <w:r w:rsidRPr="00450226">
        <w:rPr>
          <w:sz w:val="23"/>
          <w:szCs w:val="23"/>
        </w:rPr>
        <w:t>дымосос ДН-12,5;</w:t>
      </w:r>
    </w:p>
    <w:p w:rsidR="00450226" w:rsidRPr="00450226" w:rsidRDefault="00450226" w:rsidP="00450226">
      <w:pPr>
        <w:widowControl/>
        <w:ind w:firstLine="567"/>
        <w:jc w:val="both"/>
        <w:rPr>
          <w:sz w:val="23"/>
          <w:szCs w:val="23"/>
        </w:rPr>
      </w:pPr>
      <w:r w:rsidRPr="00450226">
        <w:rPr>
          <w:sz w:val="23"/>
          <w:szCs w:val="23"/>
        </w:rPr>
        <w:t>котел «ТВГ-8М»;</w:t>
      </w:r>
    </w:p>
    <w:p w:rsidR="00450226" w:rsidRPr="00450226" w:rsidRDefault="00450226" w:rsidP="00450226">
      <w:pPr>
        <w:widowControl/>
        <w:ind w:firstLine="567"/>
        <w:jc w:val="both"/>
        <w:rPr>
          <w:sz w:val="23"/>
          <w:szCs w:val="23"/>
        </w:rPr>
      </w:pPr>
      <w:r w:rsidRPr="00450226">
        <w:rPr>
          <w:sz w:val="23"/>
          <w:szCs w:val="23"/>
        </w:rPr>
        <w:t>котел «ТВГ-8М»;</w:t>
      </w:r>
    </w:p>
    <w:p w:rsidR="00450226" w:rsidRPr="00450226" w:rsidRDefault="00450226" w:rsidP="00450226">
      <w:pPr>
        <w:widowControl/>
        <w:ind w:firstLine="567"/>
        <w:jc w:val="both"/>
        <w:rPr>
          <w:sz w:val="23"/>
          <w:szCs w:val="23"/>
        </w:rPr>
      </w:pPr>
      <w:r w:rsidRPr="00450226">
        <w:rPr>
          <w:sz w:val="23"/>
          <w:szCs w:val="23"/>
        </w:rPr>
        <w:lastRenderedPageBreak/>
        <w:t>насос с эл. двигателем 1 Д-315;</w:t>
      </w:r>
    </w:p>
    <w:p w:rsidR="00450226" w:rsidRPr="004D15F9" w:rsidRDefault="00450226" w:rsidP="00450226">
      <w:pPr>
        <w:widowControl/>
        <w:ind w:firstLine="567"/>
        <w:jc w:val="both"/>
        <w:rPr>
          <w:sz w:val="23"/>
          <w:szCs w:val="23"/>
        </w:rPr>
      </w:pPr>
      <w:r w:rsidRPr="00450226">
        <w:rPr>
          <w:sz w:val="23"/>
          <w:szCs w:val="23"/>
        </w:rPr>
        <w:t>трансформатор сварочный</w:t>
      </w:r>
      <w:r>
        <w:rPr>
          <w:sz w:val="23"/>
          <w:szCs w:val="23"/>
        </w:rPr>
        <w:t>.</w:t>
      </w:r>
    </w:p>
    <w:p w:rsidR="00450226" w:rsidRDefault="00450226" w:rsidP="00450226">
      <w:pPr>
        <w:widowControl/>
        <w:ind w:firstLine="567"/>
        <w:jc w:val="both"/>
        <w:rPr>
          <w:sz w:val="23"/>
          <w:szCs w:val="23"/>
        </w:rPr>
      </w:pPr>
      <w:r w:rsidRPr="00BE57F6">
        <w:rPr>
          <w:sz w:val="23"/>
          <w:szCs w:val="23"/>
        </w:rPr>
        <w:t xml:space="preserve">Начальная цена продажи – </w:t>
      </w:r>
      <w:r w:rsidR="00A157E5" w:rsidRPr="00A157E5">
        <w:rPr>
          <w:sz w:val="23"/>
          <w:szCs w:val="23"/>
        </w:rPr>
        <w:t>9 670 000 (Девять миллионов шестьсот семьдесят тысяч) рублей</w:t>
      </w:r>
      <w:r w:rsidRPr="00BE57F6">
        <w:rPr>
          <w:sz w:val="23"/>
          <w:szCs w:val="23"/>
        </w:rPr>
        <w:t xml:space="preserve">. </w:t>
      </w:r>
    </w:p>
    <w:p w:rsidR="00450226" w:rsidRPr="004E50EA" w:rsidRDefault="00450226" w:rsidP="00450226">
      <w:pPr>
        <w:widowControl/>
        <w:ind w:firstLine="567"/>
        <w:jc w:val="both"/>
        <w:rPr>
          <w:sz w:val="23"/>
          <w:szCs w:val="23"/>
        </w:rPr>
      </w:pPr>
      <w:r w:rsidRPr="004E50EA">
        <w:rPr>
          <w:sz w:val="23"/>
          <w:szCs w:val="23"/>
        </w:rPr>
        <w:t xml:space="preserve">Минимальная цена предложения (цена отсечения) – </w:t>
      </w:r>
      <w:r w:rsidR="00A157E5" w:rsidRPr="00A157E5">
        <w:rPr>
          <w:sz w:val="23"/>
          <w:szCs w:val="23"/>
        </w:rPr>
        <w:t>4 835 000 (Четыре миллиона восемьсот тридцать пять тысяч) рублей</w:t>
      </w:r>
      <w:r w:rsidRPr="004E50EA">
        <w:rPr>
          <w:sz w:val="23"/>
          <w:szCs w:val="23"/>
        </w:rPr>
        <w:t>.</w:t>
      </w:r>
    </w:p>
    <w:p w:rsidR="00450226" w:rsidRPr="00BE57F6" w:rsidRDefault="00450226" w:rsidP="00450226">
      <w:pPr>
        <w:widowControl/>
        <w:ind w:firstLine="567"/>
        <w:jc w:val="both"/>
        <w:rPr>
          <w:sz w:val="23"/>
          <w:szCs w:val="23"/>
        </w:rPr>
      </w:pPr>
      <w:r w:rsidRPr="004E50EA">
        <w:rPr>
          <w:sz w:val="23"/>
          <w:szCs w:val="23"/>
        </w:rPr>
        <w:t xml:space="preserve">Величина снижения цены (шаг понижения) – </w:t>
      </w:r>
      <w:r w:rsidR="00A157E5" w:rsidRPr="00A157E5">
        <w:rPr>
          <w:sz w:val="23"/>
          <w:szCs w:val="23"/>
        </w:rPr>
        <w:t>967 000 (Девятьсот шестьдесят семь тысяч) рублей</w:t>
      </w:r>
      <w:r w:rsidRPr="004E50EA">
        <w:rPr>
          <w:sz w:val="23"/>
          <w:szCs w:val="23"/>
        </w:rPr>
        <w:t>.</w:t>
      </w:r>
    </w:p>
    <w:p w:rsidR="00450226" w:rsidRPr="00BE57F6" w:rsidRDefault="00450226" w:rsidP="00450226">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A157E5" w:rsidRPr="00A157E5">
        <w:rPr>
          <w:sz w:val="23"/>
          <w:szCs w:val="23"/>
        </w:rPr>
        <w:t>483 500 (Четыреста восемьдесят три тысячи пятьсот) рублей</w:t>
      </w:r>
      <w:r w:rsidRPr="00BE57F6">
        <w:rPr>
          <w:sz w:val="23"/>
          <w:szCs w:val="23"/>
        </w:rPr>
        <w:t>.</w:t>
      </w:r>
    </w:p>
    <w:p w:rsidR="00450226" w:rsidRDefault="00450226" w:rsidP="00450226">
      <w:pPr>
        <w:widowControl/>
        <w:ind w:firstLine="567"/>
        <w:jc w:val="both"/>
        <w:rPr>
          <w:sz w:val="23"/>
          <w:szCs w:val="23"/>
        </w:rPr>
      </w:pPr>
      <w:r w:rsidRPr="00D3739C">
        <w:rPr>
          <w:sz w:val="23"/>
          <w:szCs w:val="23"/>
        </w:rPr>
        <w:t>Величина</w:t>
      </w:r>
      <w:r w:rsidRPr="00BE57F6">
        <w:rPr>
          <w:sz w:val="23"/>
          <w:szCs w:val="23"/>
        </w:rPr>
        <w:t xml:space="preserve"> задатка – </w:t>
      </w:r>
      <w:r w:rsidR="00A157E5" w:rsidRPr="00A157E5">
        <w:rPr>
          <w:sz w:val="23"/>
          <w:szCs w:val="23"/>
        </w:rPr>
        <w:t>1 934 000 (Один миллион девятьсот тридцать четыре тысячи) рублей</w:t>
      </w:r>
      <w:r w:rsidRPr="00BE57F6">
        <w:rPr>
          <w:sz w:val="23"/>
          <w:szCs w:val="23"/>
        </w:rPr>
        <w:t>.</w:t>
      </w:r>
    </w:p>
    <w:p w:rsidR="00450226" w:rsidRDefault="00450226" w:rsidP="004E50EA">
      <w:pPr>
        <w:widowControl/>
        <w:ind w:firstLine="567"/>
        <w:jc w:val="both"/>
        <w:rPr>
          <w:sz w:val="23"/>
          <w:szCs w:val="23"/>
        </w:rPr>
      </w:pPr>
    </w:p>
    <w:p w:rsidR="006822B2" w:rsidRPr="004E50EA" w:rsidRDefault="006822B2" w:rsidP="004E50EA">
      <w:pPr>
        <w:widowControl/>
        <w:ind w:firstLine="567"/>
        <w:jc w:val="both"/>
        <w:rPr>
          <w:sz w:val="23"/>
          <w:szCs w:val="23"/>
        </w:rPr>
      </w:pPr>
      <w:r w:rsidRPr="008F4E43">
        <w:rPr>
          <w:color w:val="000000"/>
          <w:sz w:val="23"/>
          <w:szCs w:val="23"/>
        </w:rPr>
        <w:t xml:space="preserve">Аукцион по продаже объектов по лотам №№ </w:t>
      </w:r>
      <w:r w:rsidR="00241D33" w:rsidRPr="008F4E43">
        <w:rPr>
          <w:color w:val="000000"/>
          <w:sz w:val="23"/>
          <w:szCs w:val="23"/>
        </w:rPr>
        <w:t>1</w:t>
      </w:r>
      <w:r w:rsidR="00BE57F6">
        <w:rPr>
          <w:color w:val="000000"/>
          <w:sz w:val="23"/>
          <w:szCs w:val="23"/>
        </w:rPr>
        <w:t>, 2</w:t>
      </w:r>
      <w:r w:rsidR="00082DAC">
        <w:rPr>
          <w:color w:val="000000"/>
          <w:sz w:val="23"/>
          <w:szCs w:val="23"/>
        </w:rPr>
        <w:t xml:space="preserve">, </w:t>
      </w:r>
      <w:r w:rsidRPr="008F4E43">
        <w:rPr>
          <w:color w:val="000000"/>
          <w:sz w:val="23"/>
          <w:szCs w:val="23"/>
        </w:rPr>
        <w:t xml:space="preserve">назначенный на </w:t>
      </w:r>
      <w:r w:rsidR="00530179">
        <w:rPr>
          <w:color w:val="000000"/>
          <w:sz w:val="23"/>
          <w:szCs w:val="23"/>
        </w:rPr>
        <w:t>1</w:t>
      </w:r>
      <w:r w:rsidR="00082DAC">
        <w:rPr>
          <w:color w:val="000000"/>
          <w:sz w:val="23"/>
          <w:szCs w:val="23"/>
        </w:rPr>
        <w:t>8</w:t>
      </w:r>
      <w:r w:rsidRPr="008F4E43">
        <w:rPr>
          <w:color w:val="000000"/>
          <w:sz w:val="23"/>
          <w:szCs w:val="23"/>
        </w:rPr>
        <w:t>.0</w:t>
      </w:r>
      <w:r w:rsidR="00082DAC">
        <w:rPr>
          <w:color w:val="000000"/>
          <w:sz w:val="23"/>
          <w:szCs w:val="23"/>
        </w:rPr>
        <w:t>7</w:t>
      </w:r>
      <w:r w:rsidRPr="008F4E43">
        <w:rPr>
          <w:color w:val="000000"/>
          <w:sz w:val="23"/>
          <w:szCs w:val="23"/>
        </w:rPr>
        <w:t>.201</w:t>
      </w:r>
      <w:r w:rsidR="00530179">
        <w:rPr>
          <w:color w:val="000000"/>
          <w:sz w:val="23"/>
          <w:szCs w:val="23"/>
        </w:rPr>
        <w:t>9</w:t>
      </w:r>
      <w:r w:rsidR="00154814">
        <w:rPr>
          <w:color w:val="000000"/>
          <w:sz w:val="23"/>
          <w:szCs w:val="23"/>
        </w:rPr>
        <w:t xml:space="preserve"> и </w:t>
      </w:r>
      <w:proofErr w:type="gramStart"/>
      <w:r w:rsidR="00154814">
        <w:rPr>
          <w:color w:val="000000"/>
          <w:sz w:val="23"/>
          <w:szCs w:val="23"/>
        </w:rPr>
        <w:t>продажа</w:t>
      </w:r>
      <w:proofErr w:type="gramEnd"/>
      <w:r w:rsidR="00154814">
        <w:rPr>
          <w:color w:val="000000"/>
          <w:sz w:val="23"/>
          <w:szCs w:val="23"/>
        </w:rPr>
        <w:t xml:space="preserve"> посредством публичного предложения назначенная на 02.09.2019</w:t>
      </w:r>
      <w:r w:rsidR="00604681">
        <w:rPr>
          <w:color w:val="000000"/>
          <w:sz w:val="23"/>
          <w:szCs w:val="23"/>
        </w:rPr>
        <w:t>, 07.10.2019</w:t>
      </w:r>
      <w:r w:rsidR="00F631A4">
        <w:rPr>
          <w:color w:val="000000"/>
          <w:sz w:val="23"/>
          <w:szCs w:val="23"/>
        </w:rPr>
        <w:t>, 11.11.2019</w:t>
      </w:r>
      <w:r w:rsidRPr="008F4E43">
        <w:rPr>
          <w:color w:val="000000"/>
          <w:sz w:val="23"/>
          <w:szCs w:val="23"/>
        </w:rPr>
        <w:t xml:space="preserve"> был</w:t>
      </w:r>
      <w:r w:rsidR="00154814">
        <w:rPr>
          <w:color w:val="000000"/>
          <w:sz w:val="23"/>
          <w:szCs w:val="23"/>
        </w:rPr>
        <w:t>и</w:t>
      </w:r>
      <w:r w:rsidRPr="008F4E43">
        <w:rPr>
          <w:color w:val="000000"/>
          <w:sz w:val="23"/>
          <w:szCs w:val="23"/>
        </w:rPr>
        <w:t xml:space="preserve"> признан</w:t>
      </w:r>
      <w:r w:rsidR="00154814">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F631A4">
        <w:rPr>
          <w:b/>
          <w:sz w:val="23"/>
          <w:szCs w:val="23"/>
        </w:rPr>
        <w:t>8</w:t>
      </w:r>
      <w:r w:rsidR="00082DAC">
        <w:rPr>
          <w:b/>
          <w:sz w:val="23"/>
          <w:szCs w:val="23"/>
        </w:rPr>
        <w:t xml:space="preserve"> </w:t>
      </w:r>
      <w:r w:rsidR="00F631A4">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F631A4">
        <w:rPr>
          <w:b/>
          <w:sz w:val="23"/>
          <w:szCs w:val="23"/>
        </w:rPr>
        <w:t>6</w:t>
      </w:r>
      <w:r w:rsidR="008512AA" w:rsidRPr="001E029A">
        <w:rPr>
          <w:b/>
          <w:sz w:val="23"/>
          <w:szCs w:val="23"/>
        </w:rPr>
        <w:t xml:space="preserve"> </w:t>
      </w:r>
      <w:r w:rsidR="00F631A4">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676C3B" w:rsidRPr="001E029A">
        <w:rPr>
          <w:b/>
          <w:sz w:val="23"/>
          <w:szCs w:val="23"/>
        </w:rPr>
        <w:t>1</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F631A4">
        <w:rPr>
          <w:b/>
          <w:sz w:val="23"/>
          <w:szCs w:val="23"/>
        </w:rPr>
        <w:t>9</w:t>
      </w:r>
      <w:r w:rsidR="008512AA" w:rsidRPr="001E029A">
        <w:rPr>
          <w:b/>
          <w:sz w:val="23"/>
          <w:szCs w:val="23"/>
        </w:rPr>
        <w:t xml:space="preserve"> </w:t>
      </w:r>
      <w:r w:rsidR="00F631A4">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BD712E">
        <w:rPr>
          <w:b/>
          <w:sz w:val="23"/>
          <w:szCs w:val="23"/>
        </w:rPr>
        <w:t>1</w:t>
      </w:r>
      <w:r w:rsidR="00F631A4">
        <w:rPr>
          <w:b/>
          <w:sz w:val="23"/>
          <w:szCs w:val="23"/>
        </w:rPr>
        <w:t>0</w:t>
      </w:r>
      <w:r w:rsidR="001E029A" w:rsidRPr="001E029A">
        <w:rPr>
          <w:b/>
          <w:sz w:val="23"/>
          <w:szCs w:val="23"/>
        </w:rPr>
        <w:t xml:space="preserve"> </w:t>
      </w:r>
      <w:r w:rsidR="00F631A4">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w:t>
      </w:r>
      <w:bookmarkStart w:id="0" w:name="_GoBack"/>
      <w:bookmarkEnd w:id="0"/>
      <w:r w:rsidR="00CA13A4" w:rsidRPr="008F4E43">
        <w:rPr>
          <w:b/>
          <w:caps/>
          <w:sz w:val="23"/>
          <w:szCs w:val="23"/>
        </w:rPr>
        <w:t>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 xml:space="preserve">юридических лиц, в отношении которых офшорной компанией или группой лиц, в которую </w:t>
      </w:r>
      <w:r w:rsidRPr="008F4E43">
        <w:rPr>
          <w:sz w:val="23"/>
          <w:szCs w:val="23"/>
        </w:rPr>
        <w:lastRenderedPageBreak/>
        <w:t>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w:t>
      </w:r>
      <w:r w:rsidR="007C11B4" w:rsidRPr="008F4E43">
        <w:rPr>
          <w:sz w:val="23"/>
          <w:szCs w:val="23"/>
        </w:rPr>
        <w:lastRenderedPageBreak/>
        <w:t>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lastRenderedPageBreak/>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lastRenderedPageBreak/>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а) наименование имущества и иные позволяющие его индивидуальность сведения (спецификация </w:t>
      </w:r>
      <w:r w:rsidRPr="008F4E43">
        <w:rPr>
          <w:rFonts w:eastAsia="Calibri"/>
          <w:sz w:val="23"/>
          <w:szCs w:val="23"/>
        </w:rPr>
        <w:lastRenderedPageBreak/>
        <w:t>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w:t>
      </w:r>
      <w:r w:rsidRPr="008F4E43">
        <w:rPr>
          <w:sz w:val="23"/>
          <w:szCs w:val="23"/>
        </w:rPr>
        <w:lastRenderedPageBreak/>
        <w:t xml:space="preserve">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631A4">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32290"/>
    <w:rsid w:val="000330D4"/>
    <w:rsid w:val="00034607"/>
    <w:rsid w:val="00042E31"/>
    <w:rsid w:val="00044DCA"/>
    <w:rsid w:val="00045ADE"/>
    <w:rsid w:val="0004793A"/>
    <w:rsid w:val="00050A26"/>
    <w:rsid w:val="00051087"/>
    <w:rsid w:val="00051290"/>
    <w:rsid w:val="00053D05"/>
    <w:rsid w:val="000639E7"/>
    <w:rsid w:val="00065E50"/>
    <w:rsid w:val="00065F11"/>
    <w:rsid w:val="00074A40"/>
    <w:rsid w:val="00080154"/>
    <w:rsid w:val="0008152B"/>
    <w:rsid w:val="00082DAC"/>
    <w:rsid w:val="00083189"/>
    <w:rsid w:val="00084962"/>
    <w:rsid w:val="00086C0F"/>
    <w:rsid w:val="000877D5"/>
    <w:rsid w:val="00096220"/>
    <w:rsid w:val="000B54FF"/>
    <w:rsid w:val="000C21D1"/>
    <w:rsid w:val="000E66AE"/>
    <w:rsid w:val="000F39CF"/>
    <w:rsid w:val="000F56C4"/>
    <w:rsid w:val="000F786E"/>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820F6"/>
    <w:rsid w:val="00182740"/>
    <w:rsid w:val="00191C35"/>
    <w:rsid w:val="001A7EC5"/>
    <w:rsid w:val="001C1A47"/>
    <w:rsid w:val="001C2C77"/>
    <w:rsid w:val="001C49E0"/>
    <w:rsid w:val="001C5A26"/>
    <w:rsid w:val="001D0EA9"/>
    <w:rsid w:val="001D2626"/>
    <w:rsid w:val="001E029A"/>
    <w:rsid w:val="001E444B"/>
    <w:rsid w:val="001F2359"/>
    <w:rsid w:val="001F258D"/>
    <w:rsid w:val="00205641"/>
    <w:rsid w:val="0022418D"/>
    <w:rsid w:val="0022673D"/>
    <w:rsid w:val="00232D5A"/>
    <w:rsid w:val="00234421"/>
    <w:rsid w:val="00234E53"/>
    <w:rsid w:val="00237E56"/>
    <w:rsid w:val="002409C5"/>
    <w:rsid w:val="00240FC1"/>
    <w:rsid w:val="00241D33"/>
    <w:rsid w:val="00262389"/>
    <w:rsid w:val="002707FE"/>
    <w:rsid w:val="00275926"/>
    <w:rsid w:val="00285C50"/>
    <w:rsid w:val="002862BA"/>
    <w:rsid w:val="002867BF"/>
    <w:rsid w:val="00287EB4"/>
    <w:rsid w:val="0029405B"/>
    <w:rsid w:val="00295157"/>
    <w:rsid w:val="002A07EA"/>
    <w:rsid w:val="002C1438"/>
    <w:rsid w:val="002C2009"/>
    <w:rsid w:val="002C58C1"/>
    <w:rsid w:val="002C6BB6"/>
    <w:rsid w:val="002D1DE2"/>
    <w:rsid w:val="002D5A53"/>
    <w:rsid w:val="002E0776"/>
    <w:rsid w:val="002E5AD8"/>
    <w:rsid w:val="002E71D5"/>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60025"/>
    <w:rsid w:val="003606B2"/>
    <w:rsid w:val="0036306D"/>
    <w:rsid w:val="00364C21"/>
    <w:rsid w:val="003700E1"/>
    <w:rsid w:val="00382563"/>
    <w:rsid w:val="0038259A"/>
    <w:rsid w:val="00382C41"/>
    <w:rsid w:val="003875D8"/>
    <w:rsid w:val="0038770D"/>
    <w:rsid w:val="003A0756"/>
    <w:rsid w:val="003B0175"/>
    <w:rsid w:val="003B2C44"/>
    <w:rsid w:val="003B5C5C"/>
    <w:rsid w:val="003C5E6A"/>
    <w:rsid w:val="003D7627"/>
    <w:rsid w:val="003E3587"/>
    <w:rsid w:val="003F4BE1"/>
    <w:rsid w:val="003F6537"/>
    <w:rsid w:val="003F6F24"/>
    <w:rsid w:val="00401C22"/>
    <w:rsid w:val="00402B83"/>
    <w:rsid w:val="004045B9"/>
    <w:rsid w:val="004103A2"/>
    <w:rsid w:val="00415920"/>
    <w:rsid w:val="00417538"/>
    <w:rsid w:val="00421744"/>
    <w:rsid w:val="004320C7"/>
    <w:rsid w:val="00444438"/>
    <w:rsid w:val="00450226"/>
    <w:rsid w:val="00457271"/>
    <w:rsid w:val="004575D0"/>
    <w:rsid w:val="00457D96"/>
    <w:rsid w:val="004606AF"/>
    <w:rsid w:val="004610D0"/>
    <w:rsid w:val="004646AF"/>
    <w:rsid w:val="004727B1"/>
    <w:rsid w:val="00480B48"/>
    <w:rsid w:val="00484FC1"/>
    <w:rsid w:val="00492B63"/>
    <w:rsid w:val="00496935"/>
    <w:rsid w:val="004A28D2"/>
    <w:rsid w:val="004A36B1"/>
    <w:rsid w:val="004A38E8"/>
    <w:rsid w:val="004B3150"/>
    <w:rsid w:val="004B5206"/>
    <w:rsid w:val="004C39A4"/>
    <w:rsid w:val="004D15F9"/>
    <w:rsid w:val="004D1ED6"/>
    <w:rsid w:val="004D27E2"/>
    <w:rsid w:val="004D514C"/>
    <w:rsid w:val="004E29B1"/>
    <w:rsid w:val="004E50EA"/>
    <w:rsid w:val="004E7B47"/>
    <w:rsid w:val="004F0862"/>
    <w:rsid w:val="004F0937"/>
    <w:rsid w:val="0050095C"/>
    <w:rsid w:val="00507750"/>
    <w:rsid w:val="005102B1"/>
    <w:rsid w:val="0051350A"/>
    <w:rsid w:val="005135A3"/>
    <w:rsid w:val="00526FBD"/>
    <w:rsid w:val="00530179"/>
    <w:rsid w:val="00530D60"/>
    <w:rsid w:val="00532D2C"/>
    <w:rsid w:val="0053477D"/>
    <w:rsid w:val="005414CA"/>
    <w:rsid w:val="0055240C"/>
    <w:rsid w:val="00572242"/>
    <w:rsid w:val="00577B19"/>
    <w:rsid w:val="005850ED"/>
    <w:rsid w:val="0059152A"/>
    <w:rsid w:val="005A60F3"/>
    <w:rsid w:val="005A6AED"/>
    <w:rsid w:val="005B4535"/>
    <w:rsid w:val="005B46B9"/>
    <w:rsid w:val="005B4D63"/>
    <w:rsid w:val="005B662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4681"/>
    <w:rsid w:val="00607603"/>
    <w:rsid w:val="00611580"/>
    <w:rsid w:val="00613E81"/>
    <w:rsid w:val="0061626F"/>
    <w:rsid w:val="0062623B"/>
    <w:rsid w:val="00627FEC"/>
    <w:rsid w:val="00632D57"/>
    <w:rsid w:val="0063631A"/>
    <w:rsid w:val="00637F5C"/>
    <w:rsid w:val="00643067"/>
    <w:rsid w:val="00650ED0"/>
    <w:rsid w:val="0065221F"/>
    <w:rsid w:val="00662754"/>
    <w:rsid w:val="00666FCA"/>
    <w:rsid w:val="00676C3B"/>
    <w:rsid w:val="006822B2"/>
    <w:rsid w:val="006848AA"/>
    <w:rsid w:val="00697079"/>
    <w:rsid w:val="006B727B"/>
    <w:rsid w:val="006C40C5"/>
    <w:rsid w:val="006D257D"/>
    <w:rsid w:val="006D349C"/>
    <w:rsid w:val="006D48F7"/>
    <w:rsid w:val="006D5C78"/>
    <w:rsid w:val="006E56A4"/>
    <w:rsid w:val="006E65B5"/>
    <w:rsid w:val="006F27D2"/>
    <w:rsid w:val="006F7836"/>
    <w:rsid w:val="00701717"/>
    <w:rsid w:val="0070670A"/>
    <w:rsid w:val="00715EB4"/>
    <w:rsid w:val="00722784"/>
    <w:rsid w:val="00724772"/>
    <w:rsid w:val="00726D13"/>
    <w:rsid w:val="00734DE7"/>
    <w:rsid w:val="00735108"/>
    <w:rsid w:val="00742767"/>
    <w:rsid w:val="00745EF2"/>
    <w:rsid w:val="00746F44"/>
    <w:rsid w:val="007501AE"/>
    <w:rsid w:val="0075669A"/>
    <w:rsid w:val="00763E62"/>
    <w:rsid w:val="00770BEF"/>
    <w:rsid w:val="00771964"/>
    <w:rsid w:val="00772191"/>
    <w:rsid w:val="00774CFB"/>
    <w:rsid w:val="007A432A"/>
    <w:rsid w:val="007A509C"/>
    <w:rsid w:val="007B1C15"/>
    <w:rsid w:val="007B3BA7"/>
    <w:rsid w:val="007C11B4"/>
    <w:rsid w:val="007C2F5E"/>
    <w:rsid w:val="007C3272"/>
    <w:rsid w:val="007C4496"/>
    <w:rsid w:val="007D0784"/>
    <w:rsid w:val="007D1FA9"/>
    <w:rsid w:val="007D42C1"/>
    <w:rsid w:val="007D467F"/>
    <w:rsid w:val="007D5492"/>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79E0"/>
    <w:rsid w:val="008812AE"/>
    <w:rsid w:val="0088488A"/>
    <w:rsid w:val="00892D49"/>
    <w:rsid w:val="008A11F9"/>
    <w:rsid w:val="008A24E2"/>
    <w:rsid w:val="008A42BF"/>
    <w:rsid w:val="008B0A48"/>
    <w:rsid w:val="008E71BD"/>
    <w:rsid w:val="008F25EC"/>
    <w:rsid w:val="008F4E43"/>
    <w:rsid w:val="00915BBC"/>
    <w:rsid w:val="0093169F"/>
    <w:rsid w:val="00932D86"/>
    <w:rsid w:val="009337EE"/>
    <w:rsid w:val="00933F9C"/>
    <w:rsid w:val="00936C7C"/>
    <w:rsid w:val="00937B26"/>
    <w:rsid w:val="00943EC4"/>
    <w:rsid w:val="00945BB8"/>
    <w:rsid w:val="00951E84"/>
    <w:rsid w:val="00952D71"/>
    <w:rsid w:val="0095472C"/>
    <w:rsid w:val="00955D6C"/>
    <w:rsid w:val="009627BD"/>
    <w:rsid w:val="00970684"/>
    <w:rsid w:val="009815BE"/>
    <w:rsid w:val="009820B5"/>
    <w:rsid w:val="00983B41"/>
    <w:rsid w:val="00993185"/>
    <w:rsid w:val="009A7378"/>
    <w:rsid w:val="009B2FDC"/>
    <w:rsid w:val="009B4C7C"/>
    <w:rsid w:val="009B78A9"/>
    <w:rsid w:val="009C63CC"/>
    <w:rsid w:val="009D2074"/>
    <w:rsid w:val="009E13B8"/>
    <w:rsid w:val="009E592A"/>
    <w:rsid w:val="009E7630"/>
    <w:rsid w:val="00A02E36"/>
    <w:rsid w:val="00A034BB"/>
    <w:rsid w:val="00A154D7"/>
    <w:rsid w:val="00A157E5"/>
    <w:rsid w:val="00A15E3C"/>
    <w:rsid w:val="00A17870"/>
    <w:rsid w:val="00A274B5"/>
    <w:rsid w:val="00A347F2"/>
    <w:rsid w:val="00A50234"/>
    <w:rsid w:val="00A60D73"/>
    <w:rsid w:val="00A6359B"/>
    <w:rsid w:val="00A6503A"/>
    <w:rsid w:val="00A74633"/>
    <w:rsid w:val="00A76698"/>
    <w:rsid w:val="00A97125"/>
    <w:rsid w:val="00AA3A8D"/>
    <w:rsid w:val="00AB1579"/>
    <w:rsid w:val="00AB22E2"/>
    <w:rsid w:val="00AB3C4E"/>
    <w:rsid w:val="00AB5E5E"/>
    <w:rsid w:val="00AC0A59"/>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72A90"/>
    <w:rsid w:val="00B7516E"/>
    <w:rsid w:val="00B75DA5"/>
    <w:rsid w:val="00B94D73"/>
    <w:rsid w:val="00B96473"/>
    <w:rsid w:val="00BB194F"/>
    <w:rsid w:val="00BB2EEE"/>
    <w:rsid w:val="00BC3261"/>
    <w:rsid w:val="00BC3535"/>
    <w:rsid w:val="00BC4CFC"/>
    <w:rsid w:val="00BD1E67"/>
    <w:rsid w:val="00BD20DC"/>
    <w:rsid w:val="00BD2836"/>
    <w:rsid w:val="00BD5FE4"/>
    <w:rsid w:val="00BD712E"/>
    <w:rsid w:val="00BE34B1"/>
    <w:rsid w:val="00BE57F6"/>
    <w:rsid w:val="00BF5293"/>
    <w:rsid w:val="00C0001C"/>
    <w:rsid w:val="00C12361"/>
    <w:rsid w:val="00C1288C"/>
    <w:rsid w:val="00C13451"/>
    <w:rsid w:val="00C22828"/>
    <w:rsid w:val="00C23DB1"/>
    <w:rsid w:val="00C25D3B"/>
    <w:rsid w:val="00C31007"/>
    <w:rsid w:val="00C31250"/>
    <w:rsid w:val="00C340FB"/>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3DD5"/>
    <w:rsid w:val="00CB6B38"/>
    <w:rsid w:val="00CB7AC3"/>
    <w:rsid w:val="00CC3649"/>
    <w:rsid w:val="00CC5B68"/>
    <w:rsid w:val="00CD0A15"/>
    <w:rsid w:val="00CD2623"/>
    <w:rsid w:val="00CF09A2"/>
    <w:rsid w:val="00CF2620"/>
    <w:rsid w:val="00CF3E1D"/>
    <w:rsid w:val="00CF69AC"/>
    <w:rsid w:val="00CF7341"/>
    <w:rsid w:val="00D209C9"/>
    <w:rsid w:val="00D3535E"/>
    <w:rsid w:val="00D3739C"/>
    <w:rsid w:val="00D415AA"/>
    <w:rsid w:val="00D41915"/>
    <w:rsid w:val="00D55F84"/>
    <w:rsid w:val="00D57AB8"/>
    <w:rsid w:val="00D6322B"/>
    <w:rsid w:val="00D65E45"/>
    <w:rsid w:val="00D7309A"/>
    <w:rsid w:val="00D8693F"/>
    <w:rsid w:val="00D876BF"/>
    <w:rsid w:val="00D97565"/>
    <w:rsid w:val="00DA08A4"/>
    <w:rsid w:val="00DA338D"/>
    <w:rsid w:val="00DA66BE"/>
    <w:rsid w:val="00DB0231"/>
    <w:rsid w:val="00DB5CD0"/>
    <w:rsid w:val="00DC46AA"/>
    <w:rsid w:val="00DC4CF4"/>
    <w:rsid w:val="00DD2B62"/>
    <w:rsid w:val="00DD4F63"/>
    <w:rsid w:val="00DD5E78"/>
    <w:rsid w:val="00DE299A"/>
    <w:rsid w:val="00DE346F"/>
    <w:rsid w:val="00DE53B6"/>
    <w:rsid w:val="00DE6F6F"/>
    <w:rsid w:val="00E00A39"/>
    <w:rsid w:val="00E06B67"/>
    <w:rsid w:val="00E4651E"/>
    <w:rsid w:val="00E50CAF"/>
    <w:rsid w:val="00E517C4"/>
    <w:rsid w:val="00E57D29"/>
    <w:rsid w:val="00E633BF"/>
    <w:rsid w:val="00E74C11"/>
    <w:rsid w:val="00E757AD"/>
    <w:rsid w:val="00E933A4"/>
    <w:rsid w:val="00E95E66"/>
    <w:rsid w:val="00EA1A43"/>
    <w:rsid w:val="00EA2DCE"/>
    <w:rsid w:val="00EB15CF"/>
    <w:rsid w:val="00EB1D81"/>
    <w:rsid w:val="00EB54FA"/>
    <w:rsid w:val="00EC7235"/>
    <w:rsid w:val="00ED338D"/>
    <w:rsid w:val="00ED46E6"/>
    <w:rsid w:val="00EE615A"/>
    <w:rsid w:val="00EF7E49"/>
    <w:rsid w:val="00F007D1"/>
    <w:rsid w:val="00F1016E"/>
    <w:rsid w:val="00F23341"/>
    <w:rsid w:val="00F25C80"/>
    <w:rsid w:val="00F30540"/>
    <w:rsid w:val="00F316FD"/>
    <w:rsid w:val="00F31F51"/>
    <w:rsid w:val="00F373F3"/>
    <w:rsid w:val="00F40680"/>
    <w:rsid w:val="00F40AA1"/>
    <w:rsid w:val="00F53EAC"/>
    <w:rsid w:val="00F55748"/>
    <w:rsid w:val="00F631A4"/>
    <w:rsid w:val="00F64FDB"/>
    <w:rsid w:val="00F664E2"/>
    <w:rsid w:val="00F70448"/>
    <w:rsid w:val="00F81997"/>
    <w:rsid w:val="00F90E12"/>
    <w:rsid w:val="00FA3C20"/>
    <w:rsid w:val="00FA3EFE"/>
    <w:rsid w:val="00FD400B"/>
    <w:rsid w:val="00FE3216"/>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D8B9-8634-4048-A0FA-66A4E020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228</cp:revision>
  <cp:lastPrinted>2018-04-16T08:04:00Z</cp:lastPrinted>
  <dcterms:created xsi:type="dcterms:W3CDTF">2017-11-27T09:42:00Z</dcterms:created>
  <dcterms:modified xsi:type="dcterms:W3CDTF">2019-11-08T08:25:00Z</dcterms:modified>
</cp:coreProperties>
</file>