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bookmarkStart w:id="0" w:name="_GoBack"/>
      <w:bookmarkEnd w:id="0"/>
      <w:r w:rsidRPr="001573A4">
        <w:rPr>
          <w:bCs/>
        </w:rPr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>ДОГОВОР № Н - 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купли-продажи объекта недвижимости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Положения о Чебоксарском городском комитете по управлению имуществом, с одной стороны,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и __________________________________________________, именуем__ в дальнейшем «Покупатель», с другой стороны,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об итогах открытых аукционных торгов по продаже объектов недвижимости </w:t>
      </w:r>
      <w:proofErr w:type="gramStart"/>
      <w:r w:rsidRPr="00ED338D">
        <w:rPr>
          <w:sz w:val="24"/>
          <w:szCs w:val="24"/>
        </w:rPr>
        <w:t>от</w:t>
      </w:r>
      <w:proofErr w:type="gramEnd"/>
      <w:r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>1. Предмет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1.1. Продавец обязуется передать в собственность Покупателя _____________________________________________________________, принадлежащее Продавцу на праве собственности, что подтверждается свидетельством о государственной регистрации права серии ____________________, выданным ____________________, в дальнейшем именуемое «Нежилое помещение».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1.2. Покупатель обязуется принять Нежилое помещение и уплатить за него денежную сумму, определенную пунктом 1.3. настоящего договора.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1.3. Продажная цена Нежилого помещения составляет _________________ рублей.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1.4. Настоящий договор является основанием для последующей государственной регистрации перехода права собственности Покупателю на Нежилое помещение, которая осуществляется в установленном действующим законодательством порядке за счет средств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  <w:r w:rsidRPr="00ED338D">
        <w:rPr>
          <w:sz w:val="24"/>
          <w:szCs w:val="24"/>
        </w:rPr>
        <w:t xml:space="preserve"> 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 Порядок оплаты и передачи Нежилого помещения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2.1. Оплата стоимости Нежилого помещения производится Покупателем единовременно не позднее тридцати рабочих дней со дня заключения настоящего договора купли-продажи путем внесения Покупателем на расчетный счет Продавца суммы в размере ________________________________ рублей, равной продажной цене Нежилого помещения,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2.2. Оплата стоимости Нежилого помещения по настоящему договору третьими лицами не допускается.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2.3. Продавец обязуется обеспечить передачу Покупателю Нежилого помещения, а Покупатель обязуется принять ее, в течение тридцати дней с момента полной оплаты стоимости Нежилого помещения Покупателем.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2.4. Право собственности на Нежилое помещение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Нежилого помещения, указанного в п. 1.3 настоящего договора.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 Особые условия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3.1. Со дня передачи Нежилого помещения по акту приема-передачи  Покупатель несет бремя содержания и риск случайной гибели или повреждения Нежилого помещения.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3.2. Покупатель обязан соблюдать установленные правила и нормы, требования и условия  технической эксплуатации, содержания, текущего и капитального ремонта </w:t>
      </w:r>
      <w:r w:rsidRPr="00ED338D">
        <w:rPr>
          <w:sz w:val="24"/>
          <w:szCs w:val="24"/>
        </w:rPr>
        <w:lastRenderedPageBreak/>
        <w:t>Нежилого помещения, расположенных в нем инженерных коммуникаций и прилегающей территории в соответствии с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3.3. Покупатель обязан обеспечивать беспрепятственный доступ в Нежилое помещение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3.4. В целях защиты интересов населения города Покупатель обязан согласовать вид деятельности в Нежилом помещении (цель использования Нежилого помещения)  с соответствующими инспектирующими органами.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4.1.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4.2. При уклонении или отказе Покупателя от оплаты продажной цены Нежилого помещения: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5.2. Настоящий договор прекращает свое действие в случаях: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предусмотренных настоящим договором;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5.3. Изменения условий настоящего договора возможно только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P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75669A" w:rsidRPr="0075669A" w:rsidRDefault="0075669A" w:rsidP="0075669A">
      <w:pPr>
        <w:widowControl/>
        <w:ind w:right="-1"/>
        <w:jc w:val="both"/>
        <w:rPr>
          <w:sz w:val="24"/>
          <w:szCs w:val="24"/>
        </w:rPr>
      </w:pPr>
      <w:r w:rsidRPr="0075669A">
        <w:rPr>
          <w:sz w:val="24"/>
          <w:szCs w:val="24"/>
        </w:rPr>
        <w:t xml:space="preserve">ИНН 2126002000/ КПП 213001001 УФК по Чувашской Республике (Чебоксарское </w:t>
      </w:r>
      <w:proofErr w:type="spellStart"/>
      <w:r w:rsidRPr="0075669A">
        <w:rPr>
          <w:sz w:val="24"/>
          <w:szCs w:val="24"/>
        </w:rPr>
        <w:t>горкомимущество</w:t>
      </w:r>
      <w:proofErr w:type="spellEnd"/>
      <w:r w:rsidRPr="0075669A">
        <w:rPr>
          <w:sz w:val="24"/>
          <w:szCs w:val="24"/>
        </w:rPr>
        <w:t xml:space="preserve">, л/с 05153003720) </w:t>
      </w:r>
      <w:proofErr w:type="gramStart"/>
      <w:r w:rsidRPr="0075669A">
        <w:rPr>
          <w:sz w:val="24"/>
          <w:szCs w:val="24"/>
        </w:rPr>
        <w:t>р</w:t>
      </w:r>
      <w:proofErr w:type="gramEnd"/>
      <w:r w:rsidRPr="0075669A">
        <w:rPr>
          <w:sz w:val="24"/>
          <w:szCs w:val="24"/>
        </w:rPr>
        <w:t xml:space="preserve">/с </w:t>
      </w:r>
      <w:r w:rsidRPr="0075669A">
        <w:rPr>
          <w:bCs/>
          <w:sz w:val="24"/>
          <w:szCs w:val="24"/>
        </w:rPr>
        <w:t>40302810022023970333</w:t>
      </w:r>
      <w:r w:rsidRPr="0075669A">
        <w:rPr>
          <w:sz w:val="24"/>
          <w:szCs w:val="24"/>
        </w:rPr>
        <w:t xml:space="preserve"> в Отделении - НБ Чувашская Республика г. Чебоксары, БИК 049706001</w:t>
      </w:r>
    </w:p>
    <w:p w:rsidR="00CD0A15" w:rsidRDefault="00CD0A15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CD0A15">
      <w:headerReference w:type="even" r:id="rId9"/>
      <w:headerReference w:type="default" r:id="rId10"/>
      <w:endnotePr>
        <w:numFmt w:val="decimal"/>
      </w:endnotePr>
      <w:pgSz w:w="11907" w:h="16840"/>
      <w:pgMar w:top="709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83" w:rsidRDefault="008E1A83">
      <w:r>
        <w:separator/>
      </w:r>
    </w:p>
  </w:endnote>
  <w:endnote w:type="continuationSeparator" w:id="0">
    <w:p w:rsidR="008E1A83" w:rsidRDefault="008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83" w:rsidRDefault="008E1A83">
      <w:r>
        <w:separator/>
      </w:r>
    </w:p>
  </w:footnote>
  <w:footnote w:type="continuationSeparator" w:id="0">
    <w:p w:rsidR="008E1A83" w:rsidRDefault="008E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8295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82955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8E1A83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C15A-A7AF-4794-BF2B-3851458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А.Н.</cp:lastModifiedBy>
  <cp:revision>2</cp:revision>
  <cp:lastPrinted>2017-03-09T15:19:00Z</cp:lastPrinted>
  <dcterms:created xsi:type="dcterms:W3CDTF">2017-08-10T12:24:00Z</dcterms:created>
  <dcterms:modified xsi:type="dcterms:W3CDTF">2017-08-10T12:24:00Z</dcterms:modified>
</cp:coreProperties>
</file>