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6372D" w:rsidTr="007C399D">
        <w:trPr>
          <w:trHeight w:hRule="exact" w:val="141"/>
        </w:trPr>
        <w:tc>
          <w:tcPr>
            <w:tcW w:w="4274" w:type="dxa"/>
          </w:tcPr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D6372D" w:rsidRDefault="00D6372D" w:rsidP="0033057B">
            <w:pPr>
              <w:snapToGrid w:val="0"/>
            </w:pPr>
          </w:p>
        </w:tc>
        <w:tc>
          <w:tcPr>
            <w:tcW w:w="4302" w:type="dxa"/>
          </w:tcPr>
          <w:p w:rsidR="00D6372D" w:rsidRDefault="00D6372D" w:rsidP="0033057B">
            <w:pPr>
              <w:snapToGrid w:val="0"/>
            </w:pPr>
          </w:p>
        </w:tc>
      </w:tr>
    </w:tbl>
    <w:p w:rsidR="00B46F39" w:rsidRDefault="00B46F39" w:rsidP="00B46F39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39" w:rsidRDefault="00B46F39" w:rsidP="00B46F39">
      <w:pPr>
        <w:jc w:val="right"/>
        <w:rPr>
          <w:sz w:val="16"/>
          <w:szCs w:val="16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46F39" w:rsidTr="00B46F39">
        <w:trPr>
          <w:trHeight w:hRule="exact" w:val="605"/>
        </w:trPr>
        <w:tc>
          <w:tcPr>
            <w:tcW w:w="4260" w:type="dxa"/>
            <w:vMerge w:val="restart"/>
          </w:tcPr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46F39" w:rsidRDefault="00B46F3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  <w:noProof/>
                <w:szCs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46F39" w:rsidRDefault="00B46F3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46F39" w:rsidRDefault="00B46F39">
            <w:pPr>
              <w:snapToGrid w:val="0"/>
              <w:jc w:val="center"/>
              <w:rPr>
                <w:sz w:val="26"/>
                <w:szCs w:val="24"/>
              </w:rPr>
            </w:pPr>
          </w:p>
        </w:tc>
        <w:tc>
          <w:tcPr>
            <w:tcW w:w="4287" w:type="dxa"/>
          </w:tcPr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46F39" w:rsidRDefault="00B46F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46F39" w:rsidRDefault="00B46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6F39" w:rsidRDefault="00B46F39">
            <w:pPr>
              <w:rPr>
                <w:sz w:val="26"/>
                <w:szCs w:val="26"/>
              </w:rPr>
            </w:pPr>
          </w:p>
          <w:p w:rsidR="00B46F39" w:rsidRDefault="00B46F39">
            <w:pPr>
              <w:rPr>
                <w:sz w:val="26"/>
                <w:szCs w:val="26"/>
              </w:rPr>
            </w:pPr>
          </w:p>
        </w:tc>
      </w:tr>
      <w:tr w:rsidR="00B46F39" w:rsidTr="00B46F39">
        <w:trPr>
          <w:trHeight w:val="317"/>
        </w:trPr>
        <w:tc>
          <w:tcPr>
            <w:tcW w:w="4260" w:type="dxa"/>
            <w:vMerge/>
            <w:vAlign w:val="center"/>
            <w:hideMark/>
          </w:tcPr>
          <w:p w:rsidR="00B46F39" w:rsidRDefault="00B46F39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4"/>
              </w:rPr>
            </w:pPr>
          </w:p>
        </w:tc>
        <w:tc>
          <w:tcPr>
            <w:tcW w:w="4287" w:type="dxa"/>
            <w:vMerge w:val="restart"/>
          </w:tcPr>
          <w:p w:rsidR="00262E8E" w:rsidRDefault="00262E8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46F39" w:rsidRDefault="00B46F3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МУЧАР ЯЛ ПОСЕЛЕНИЙĚН </w:t>
            </w:r>
          </w:p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B46F39" w:rsidRDefault="00B46F39">
            <w:pPr>
              <w:spacing w:line="192" w:lineRule="auto"/>
              <w:rPr>
                <w:szCs w:val="26"/>
              </w:rPr>
            </w:pPr>
          </w:p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ЫШ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НУ</w:t>
            </w:r>
          </w:p>
          <w:p w:rsidR="00B46F39" w:rsidRDefault="00B46F39">
            <w:pPr>
              <w:rPr>
                <w:sz w:val="12"/>
                <w:szCs w:val="12"/>
              </w:rPr>
            </w:pPr>
          </w:p>
          <w:p w:rsidR="00B46F39" w:rsidRPr="00B46F39" w:rsidRDefault="00262E8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25  август 2022 ç.  42</w:t>
            </w:r>
            <w:r w:rsidR="00B46F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/1 </w:t>
            </w:r>
            <w:r w:rsidR="00B46F39" w:rsidRPr="00B46F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B46F39" w:rsidRDefault="00B46F39">
            <w:pPr>
              <w:jc w:val="center"/>
              <w:rPr>
                <w:sz w:val="26"/>
                <w:szCs w:val="26"/>
              </w:rPr>
            </w:pPr>
            <w:proofErr w:type="spellStart"/>
            <w:r w:rsidRPr="00B46F39">
              <w:rPr>
                <w:rFonts w:ascii="Times New Roman" w:hAnsi="Times New Roman"/>
                <w:sz w:val="26"/>
                <w:szCs w:val="26"/>
              </w:rPr>
              <w:t>Мучар</w:t>
            </w:r>
            <w:proofErr w:type="spellEnd"/>
            <w:r w:rsidRPr="00B46F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6F39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B46F39" w:rsidTr="00B46F39">
        <w:trPr>
          <w:trHeight w:val="2206"/>
        </w:trPr>
        <w:tc>
          <w:tcPr>
            <w:tcW w:w="4260" w:type="dxa"/>
          </w:tcPr>
          <w:p w:rsidR="00B46F39" w:rsidRDefault="00B46F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 СЕЛЬСКОГО ПОСЕЛЕНИЯ</w:t>
            </w:r>
          </w:p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B46F39" w:rsidRDefault="00B46F39">
            <w:pPr>
              <w:rPr>
                <w:sz w:val="12"/>
                <w:szCs w:val="12"/>
              </w:rPr>
            </w:pPr>
          </w:p>
          <w:p w:rsidR="00B46F39" w:rsidRPr="00B46F39" w:rsidRDefault="00262E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25  августа 2022 г. №  42</w:t>
            </w:r>
            <w:r w:rsidR="00B46F39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/1</w:t>
            </w:r>
          </w:p>
          <w:p w:rsidR="00B46F39" w:rsidRDefault="00B46F39">
            <w:pPr>
              <w:jc w:val="center"/>
              <w:rPr>
                <w:sz w:val="26"/>
                <w:szCs w:val="26"/>
              </w:rPr>
            </w:pPr>
            <w:r w:rsidRPr="00B46F39">
              <w:rPr>
                <w:rFonts w:ascii="Times New Roman" w:hAnsi="Times New Roman"/>
                <w:sz w:val="26"/>
                <w:szCs w:val="26"/>
              </w:rPr>
              <w:t>село Можарки</w:t>
            </w:r>
          </w:p>
        </w:tc>
        <w:tc>
          <w:tcPr>
            <w:tcW w:w="1185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4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6"/>
              </w:rPr>
            </w:pPr>
          </w:p>
        </w:tc>
      </w:tr>
    </w:tbl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 w:rsidRPr="00262E8E">
        <w:rPr>
          <w:rFonts w:ascii="Times New Roman" w:hAnsi="Times New Roman"/>
          <w:sz w:val="24"/>
          <w:szCs w:val="24"/>
        </w:rPr>
        <w:t>О Порядке проведения осмотра зданий, сооружений</w:t>
      </w:r>
    </w:p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 их технического состояния и</w:t>
      </w:r>
    </w:p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надлежащего технического обслуживания в соответствии</w:t>
      </w:r>
    </w:p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требованиями технических регламентов к </w:t>
      </w:r>
      <w:proofErr w:type="gramStart"/>
      <w:r>
        <w:rPr>
          <w:rFonts w:ascii="Times New Roman" w:hAnsi="Times New Roman"/>
          <w:sz w:val="24"/>
          <w:szCs w:val="24"/>
        </w:rPr>
        <w:t>конструктивным</w:t>
      </w:r>
      <w:proofErr w:type="gramEnd"/>
    </w:p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другим характеристикам надежности и безопасности </w:t>
      </w:r>
    </w:p>
    <w:p w:rsidR="00262E8E" w:rsidRDefault="00262E8E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объектов, требованиями проектной документации указанных</w:t>
      </w:r>
    </w:p>
    <w:p w:rsidR="00262E8E" w:rsidRDefault="003441DF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на территории Можарского сельского поселения</w:t>
      </w:r>
    </w:p>
    <w:p w:rsidR="003441DF" w:rsidRDefault="003441DF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Янтиковского района Чувашской Республики</w:t>
      </w:r>
    </w:p>
    <w:p w:rsidR="00262E8E" w:rsidRPr="00262E8E" w:rsidRDefault="00262E8E" w:rsidP="00262E8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62E8E" w:rsidRPr="00440FB5" w:rsidRDefault="00262E8E" w:rsidP="00262E8E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1827C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Собрание депутатов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1827C5">
        <w:rPr>
          <w:b/>
          <w:color w:val="000000" w:themeColor="text1"/>
        </w:rPr>
        <w:t xml:space="preserve"> решило</w:t>
      </w:r>
      <w:r w:rsidRPr="00440FB5">
        <w:rPr>
          <w:color w:val="000000" w:themeColor="text1"/>
        </w:rPr>
        <w:t>:</w:t>
      </w:r>
    </w:p>
    <w:p w:rsidR="00262E8E" w:rsidRDefault="00262E8E" w:rsidP="00262E8E">
      <w:pPr>
        <w:pStyle w:val="ConsPlusNormal"/>
        <w:numPr>
          <w:ilvl w:val="0"/>
          <w:numId w:val="5"/>
        </w:numPr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b/>
          <w:color w:val="000000" w:themeColor="text1"/>
        </w:rPr>
        <w:t>.</w:t>
      </w:r>
    </w:p>
    <w:p w:rsidR="00262E8E" w:rsidRPr="00440FB5" w:rsidRDefault="00262E8E" w:rsidP="00262E8E">
      <w:pPr>
        <w:pStyle w:val="ConsPlusNormal"/>
        <w:numPr>
          <w:ilvl w:val="0"/>
          <w:numId w:val="5"/>
        </w:numPr>
        <w:jc w:val="both"/>
        <w:rPr>
          <w:b/>
          <w:color w:val="000000" w:themeColor="text1"/>
        </w:rPr>
      </w:pPr>
      <w:r w:rsidRPr="001827C5">
        <w:rPr>
          <w:color w:val="000000" w:themeColor="text1"/>
        </w:rPr>
        <w:t>Признать утратившим силу решение Собрания депутатов</w:t>
      </w:r>
      <w:r>
        <w:rPr>
          <w:b/>
          <w:color w:val="000000" w:themeColor="text1"/>
        </w:rPr>
        <w:t xml:space="preserve">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>
        <w:rPr>
          <w:color w:val="000000" w:themeColor="text1"/>
        </w:rPr>
        <w:t xml:space="preserve">                  от 13.12.2017 № 25/4 «</w:t>
      </w:r>
      <w: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обслуживания».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       </w:t>
      </w:r>
      <w:r w:rsidRPr="00440FB5">
        <w:rPr>
          <w:color w:val="000000" w:themeColor="text1"/>
        </w:rPr>
        <w:t>Настоящее решение вступает в силу со дня его официального опубликования.</w:t>
      </w:r>
    </w:p>
    <w:p w:rsidR="00262E8E" w:rsidRPr="00440FB5" w:rsidRDefault="00262E8E" w:rsidP="00262E8E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262E8E" w:rsidRPr="00262E8E" w:rsidRDefault="00262E8E" w:rsidP="00262E8E">
      <w:pPr>
        <w:jc w:val="both"/>
        <w:rPr>
          <w:rFonts w:ascii="Times New Roman" w:hAnsi="Times New Roman"/>
          <w:sz w:val="24"/>
          <w:szCs w:val="24"/>
        </w:rPr>
      </w:pPr>
      <w:r w:rsidRPr="00262E8E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62E8E" w:rsidRPr="00262E8E" w:rsidRDefault="00262E8E" w:rsidP="00262E8E">
      <w:pPr>
        <w:rPr>
          <w:rFonts w:ascii="Times New Roman" w:hAnsi="Times New Roman"/>
          <w:sz w:val="24"/>
          <w:szCs w:val="24"/>
        </w:rPr>
      </w:pPr>
      <w:r w:rsidRPr="00262E8E">
        <w:rPr>
          <w:rFonts w:ascii="Times New Roman" w:hAnsi="Times New Roman"/>
          <w:sz w:val="24"/>
          <w:szCs w:val="24"/>
        </w:rPr>
        <w:t xml:space="preserve">Можарского сельского поселения                                                           </w:t>
      </w:r>
      <w:r w:rsidR="003441DF">
        <w:rPr>
          <w:rFonts w:ascii="Times New Roman" w:hAnsi="Times New Roman"/>
          <w:sz w:val="24"/>
          <w:szCs w:val="24"/>
        </w:rPr>
        <w:t xml:space="preserve">          </w:t>
      </w:r>
      <w:r w:rsidRPr="00262E8E">
        <w:rPr>
          <w:rFonts w:ascii="Times New Roman" w:hAnsi="Times New Roman"/>
          <w:sz w:val="24"/>
          <w:szCs w:val="24"/>
        </w:rPr>
        <w:t>Е.В. Ситулина</w:t>
      </w:r>
    </w:p>
    <w:p w:rsidR="00262E8E" w:rsidRPr="00262E8E" w:rsidRDefault="003441DF" w:rsidP="0026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62E8E" w:rsidRPr="00262E8E" w:rsidRDefault="00262E8E" w:rsidP="00262E8E">
      <w:pPr>
        <w:rPr>
          <w:rFonts w:ascii="Times New Roman" w:hAnsi="Times New Roman"/>
          <w:sz w:val="24"/>
          <w:szCs w:val="24"/>
        </w:rPr>
      </w:pPr>
      <w:r w:rsidRPr="00262E8E">
        <w:rPr>
          <w:rFonts w:ascii="Times New Roman" w:hAnsi="Times New Roman"/>
          <w:sz w:val="24"/>
          <w:szCs w:val="24"/>
        </w:rPr>
        <w:t>Глава Можарского сельского поселения</w:t>
      </w:r>
    </w:p>
    <w:p w:rsidR="00262E8E" w:rsidRPr="00262E8E" w:rsidRDefault="00262E8E" w:rsidP="00262E8E">
      <w:pPr>
        <w:rPr>
          <w:rFonts w:ascii="Times New Roman" w:hAnsi="Times New Roman"/>
          <w:sz w:val="24"/>
          <w:szCs w:val="24"/>
        </w:rPr>
      </w:pPr>
      <w:r w:rsidRPr="00262E8E">
        <w:rPr>
          <w:rFonts w:ascii="Times New Roman" w:hAnsi="Times New Roman"/>
          <w:sz w:val="24"/>
          <w:szCs w:val="24"/>
        </w:rPr>
        <w:t xml:space="preserve">Янтиковского района Чувашской Республики                                         </w:t>
      </w:r>
      <w:r w:rsidR="003441DF">
        <w:rPr>
          <w:rFonts w:ascii="Times New Roman" w:hAnsi="Times New Roman"/>
          <w:sz w:val="24"/>
          <w:szCs w:val="24"/>
        </w:rPr>
        <w:t xml:space="preserve">       </w:t>
      </w:r>
      <w:r w:rsidRPr="00262E8E">
        <w:rPr>
          <w:rFonts w:ascii="Times New Roman" w:hAnsi="Times New Roman"/>
          <w:sz w:val="24"/>
          <w:szCs w:val="24"/>
        </w:rPr>
        <w:t xml:space="preserve">А.В. Егоров     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</w:p>
    <w:p w:rsidR="00262E8E" w:rsidRDefault="00262E8E" w:rsidP="00262E8E">
      <w:pPr>
        <w:pStyle w:val="ConsPlusNormal"/>
        <w:spacing w:before="100" w:beforeAutospacing="1"/>
        <w:rPr>
          <w:color w:val="000000" w:themeColor="text1"/>
        </w:rPr>
      </w:pPr>
    </w:p>
    <w:p w:rsidR="003441DF" w:rsidRPr="00440FB5" w:rsidRDefault="003441DF" w:rsidP="00262E8E">
      <w:pPr>
        <w:pStyle w:val="ConsPlusNormal"/>
        <w:spacing w:before="100" w:beforeAutospacing="1"/>
        <w:rPr>
          <w:color w:val="000000" w:themeColor="text1"/>
        </w:rPr>
      </w:pPr>
    </w:p>
    <w:p w:rsidR="00262E8E" w:rsidRDefault="00262E8E" w:rsidP="00262E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827C5">
        <w:rPr>
          <w:rFonts w:ascii="Times New Roman" w:hAnsi="Times New Roman" w:cs="Times New Roman"/>
          <w:sz w:val="24"/>
          <w:szCs w:val="24"/>
        </w:rPr>
        <w:t>Приложение</w:t>
      </w:r>
    </w:p>
    <w:p w:rsidR="00262E8E" w:rsidRDefault="00262E8E" w:rsidP="00262E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827C5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7C5">
        <w:rPr>
          <w:rFonts w:ascii="Times New Roman" w:hAnsi="Times New Roman" w:cs="Times New Roman"/>
          <w:sz w:val="24"/>
          <w:szCs w:val="24"/>
        </w:rPr>
        <w:t xml:space="preserve">Можарского </w:t>
      </w:r>
    </w:p>
    <w:p w:rsidR="00262E8E" w:rsidRPr="001827C5" w:rsidRDefault="003441DF" w:rsidP="00262E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 от 25.08.2022</w:t>
      </w:r>
      <w:r w:rsidR="00262E8E" w:rsidRPr="001827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42/1</w:t>
      </w:r>
    </w:p>
    <w:p w:rsidR="00262E8E" w:rsidRPr="00440FB5" w:rsidRDefault="00262E8E" w:rsidP="00262E8E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 xml:space="preserve">ОБСЛУЖИВАНИЯ В СООТВЕТСТВИИ С ТРЕБОВАНИЯМИ </w:t>
      </w:r>
      <w:proofErr w:type="gramStart"/>
      <w:r w:rsidRPr="00440FB5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262E8E" w:rsidRPr="001827C5" w:rsidRDefault="00262E8E" w:rsidP="003441DF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 ДОКУМЕНТАЦИИ УКАЗАННЫХ ОБЪЕКТОВ НА ТЕРРИТОРИИ</w:t>
      </w:r>
      <w:r w:rsidR="003441DF">
        <w:rPr>
          <w:rFonts w:ascii="Times New Roman" w:hAnsi="Times New Roman" w:cs="Times New Roman"/>
          <w:color w:val="000000" w:themeColor="text1"/>
        </w:rPr>
        <w:t xml:space="preserve"> </w:t>
      </w:r>
      <w:r w:rsidRPr="001827C5">
        <w:rPr>
          <w:rFonts w:ascii="Times New Roman" w:hAnsi="Times New Roman" w:cs="Times New Roman"/>
          <w:color w:val="000000" w:themeColor="text1"/>
        </w:rPr>
        <w:t>МОЖАРСКОГО</w:t>
      </w:r>
      <w:r>
        <w:rPr>
          <w:rFonts w:ascii="Times New Roman" w:hAnsi="Times New Roman" w:cs="Times New Roman"/>
          <w:color w:val="000000" w:themeColor="text1"/>
        </w:rPr>
        <w:t xml:space="preserve"> СЕЛЬСКОГО ПОСЕЛЕНИЯ ЯНТИКОВСКОГО РАЙОНА ЧУВАШСКОЙ РЕСПУБЛИКИ</w:t>
      </w:r>
    </w:p>
    <w:p w:rsidR="00262E8E" w:rsidRPr="00440FB5" w:rsidRDefault="00262E8E" w:rsidP="00262E8E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 xml:space="preserve">общих принципах организации местного самоуправления в Российской Федерации», Уставом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440FB5">
        <w:rPr>
          <w:color w:val="000000" w:themeColor="text1"/>
        </w:rPr>
        <w:t>, сооружений), права и обязанности должностных лиц при проведении осмотра зданий, сооружений.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262E8E" w:rsidRPr="00440FB5" w:rsidRDefault="00262E8E" w:rsidP="00262E8E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 xml:space="preserve"> (далее – администрация).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 xml:space="preserve"> утверждает основной состав комиссии, уполномоченной осуществлять осмотр зданий, сооружений (далее – Комиссия).</w:t>
      </w:r>
    </w:p>
    <w:p w:rsidR="00262E8E" w:rsidRPr="00440FB5" w:rsidRDefault="00262E8E" w:rsidP="00262E8E">
      <w:pPr>
        <w:pStyle w:val="ConsPlusNormal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bookmarkStart w:id="0" w:name="Par53"/>
      <w:bookmarkEnd w:id="0"/>
      <w:r w:rsidRPr="00440FB5">
        <w:rPr>
          <w:color w:val="000000" w:themeColor="text1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bookmarkStart w:id="1" w:name="Par54"/>
      <w:bookmarkEnd w:id="1"/>
      <w:r w:rsidRPr="00440FB5">
        <w:rPr>
          <w:color w:val="000000" w:themeColor="text1"/>
        </w:rPr>
        <w:lastRenderedPageBreak/>
        <w:t>Указанные заявления физических или юридических лиц регистрируются в день их поступления в администрацию.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</w:t>
      </w:r>
      <w:proofErr w:type="gramStart"/>
      <w:r w:rsidRPr="00440FB5">
        <w:rPr>
          <w:color w:val="000000" w:themeColor="text1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  <w:proofErr w:type="gramEnd"/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2.6. </w:t>
      </w:r>
      <w:proofErr w:type="gramStart"/>
      <w:r w:rsidRPr="00440FB5">
        <w:rPr>
          <w:color w:val="000000" w:themeColor="text1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40FB5">
        <w:rPr>
          <w:color w:val="000000" w:themeColor="text1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440FB5">
        <w:rPr>
          <w:color w:val="000000" w:themeColor="text1"/>
        </w:rPr>
        <w:t>позднее</w:t>
      </w:r>
      <w:proofErr w:type="gramEnd"/>
      <w:r w:rsidRPr="00440FB5">
        <w:rPr>
          <w:color w:val="000000" w:themeColor="text1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</w:t>
      </w:r>
      <w:r w:rsidRPr="00440FB5">
        <w:rPr>
          <w:color w:val="000000" w:themeColor="text1"/>
        </w:rPr>
        <w:lastRenderedPageBreak/>
        <w:t>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</w:t>
      </w:r>
      <w:proofErr w:type="gramStart"/>
      <w:r w:rsidRPr="00440FB5">
        <w:rPr>
          <w:color w:val="000000" w:themeColor="text1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440FB5">
        <w:rPr>
          <w:color w:val="000000" w:themeColor="text1"/>
        </w:rPr>
        <w:t>фотофиксацией</w:t>
      </w:r>
      <w:proofErr w:type="spellEnd"/>
      <w:r w:rsidRPr="00440FB5">
        <w:rPr>
          <w:color w:val="000000" w:themeColor="text1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440FB5">
        <w:rPr>
          <w:color w:val="000000" w:themeColor="text1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2.8. </w:t>
      </w:r>
      <w:proofErr w:type="gramStart"/>
      <w:r w:rsidRPr="00440FB5">
        <w:rPr>
          <w:color w:val="000000" w:themeColor="text1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К Акту осмотра прикладываются материалы </w:t>
      </w:r>
      <w:proofErr w:type="spellStart"/>
      <w:r w:rsidRPr="00440FB5">
        <w:rPr>
          <w:color w:val="000000" w:themeColor="text1"/>
        </w:rPr>
        <w:t>фотофиксации</w:t>
      </w:r>
      <w:proofErr w:type="spellEnd"/>
      <w:r w:rsidRPr="00440FB5">
        <w:rPr>
          <w:color w:val="000000" w:themeColor="text1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 xml:space="preserve">2.13. </w:t>
      </w:r>
      <w:proofErr w:type="gramStart"/>
      <w:r w:rsidRPr="00440FB5">
        <w:rPr>
          <w:color w:val="000000" w:themeColor="text1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440FB5">
        <w:rPr>
          <w:color w:val="000000" w:themeColor="text1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2.14. </w:t>
      </w:r>
      <w:proofErr w:type="gramStart"/>
      <w:r w:rsidRPr="00440FB5">
        <w:rPr>
          <w:color w:val="000000" w:themeColor="text1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</w:t>
      </w:r>
      <w:proofErr w:type="gramStart"/>
      <w:r w:rsidRPr="00440FB5">
        <w:rPr>
          <w:color w:val="000000" w:themeColor="text1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262E8E" w:rsidRPr="00440FB5" w:rsidRDefault="00262E8E" w:rsidP="00262E8E">
      <w:pPr>
        <w:pStyle w:val="ConsPlusNormal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262E8E" w:rsidRPr="00440FB5" w:rsidRDefault="00262E8E" w:rsidP="00262E8E">
      <w:pPr>
        <w:pStyle w:val="ConsPlusNormal"/>
        <w:spacing w:line="240" w:lineRule="exact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262E8E" w:rsidRPr="00440FB5" w:rsidRDefault="00262E8E" w:rsidP="00262E8E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</w:t>
      </w:r>
      <w:r w:rsidRPr="00440FB5">
        <w:rPr>
          <w:color w:val="000000" w:themeColor="text1"/>
        </w:rPr>
        <w:lastRenderedPageBreak/>
        <w:t>сооружения, или их уполномоченных представителей;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262E8E" w:rsidRPr="00440FB5" w:rsidRDefault="00262E8E" w:rsidP="00262E8E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262E8E" w:rsidRPr="00440FB5" w:rsidRDefault="00262E8E" w:rsidP="00262E8E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</w:p>
    <w:p w:rsidR="00262E8E" w:rsidRPr="00440FB5" w:rsidRDefault="00262E8E" w:rsidP="00262E8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62E8E" w:rsidRPr="00440FB5" w:rsidRDefault="00262E8E" w:rsidP="00262E8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262E8E" w:rsidRPr="00440FB5" w:rsidRDefault="00262E8E" w:rsidP="00262E8E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262E8E" w:rsidRPr="00440FB5" w:rsidRDefault="00262E8E" w:rsidP="00262E8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262E8E" w:rsidRPr="00440FB5" w:rsidRDefault="00262E8E" w:rsidP="00262E8E">
      <w:pPr>
        <w:pStyle w:val="ConsPlusNormal"/>
        <w:spacing w:line="240" w:lineRule="exact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262E8E" w:rsidRPr="00440FB5" w:rsidRDefault="00262E8E" w:rsidP="00262E8E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</w:t>
      </w:r>
      <w:r>
        <w:rPr>
          <w:color w:val="000000" w:themeColor="text1"/>
        </w:rPr>
        <w:t>ательством Российской Федерации</w:t>
      </w:r>
    </w:p>
    <w:p w:rsidR="00262E8E" w:rsidRPr="00440FB5" w:rsidRDefault="00262E8E" w:rsidP="00262E8E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3441DF" w:rsidRDefault="003441DF" w:rsidP="00262E8E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262E8E" w:rsidRPr="00440FB5" w:rsidRDefault="00262E8E" w:rsidP="00262E8E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Приложение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 xml:space="preserve">обслуживания в соответствии с требованиями </w:t>
      </w:r>
      <w:proofErr w:type="gramStart"/>
      <w:r w:rsidRPr="00440FB5">
        <w:rPr>
          <w:color w:val="000000" w:themeColor="text1"/>
        </w:rPr>
        <w:t>технических</w:t>
      </w:r>
      <w:proofErr w:type="gramEnd"/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262E8E" w:rsidRDefault="00262E8E" w:rsidP="00262E8E">
      <w:pPr>
        <w:pStyle w:val="ConsPlusNormal"/>
        <w:spacing w:line="240" w:lineRule="exact"/>
        <w:jc w:val="right"/>
        <w:rPr>
          <w:color w:val="000000" w:themeColor="text1"/>
        </w:rPr>
      </w:pPr>
      <w:r w:rsidRPr="001827C5">
        <w:rPr>
          <w:color w:val="000000" w:themeColor="text1"/>
        </w:rPr>
        <w:t xml:space="preserve">Можарского сельского поселения Янтиковского района </w:t>
      </w:r>
    </w:p>
    <w:p w:rsidR="00262E8E" w:rsidRPr="00440FB5" w:rsidRDefault="00262E8E" w:rsidP="00262E8E">
      <w:pPr>
        <w:pStyle w:val="ConsPlusNormal"/>
        <w:spacing w:line="240" w:lineRule="exact"/>
        <w:jc w:val="right"/>
        <w:rPr>
          <w:b/>
          <w:color w:val="000000" w:themeColor="text1"/>
        </w:rPr>
      </w:pPr>
      <w:r w:rsidRPr="001827C5">
        <w:rPr>
          <w:color w:val="000000" w:themeColor="text1"/>
        </w:rPr>
        <w:t>Чувашской Республики</w:t>
      </w:r>
    </w:p>
    <w:p w:rsidR="00262E8E" w:rsidRPr="00440FB5" w:rsidRDefault="00262E8E" w:rsidP="00262E8E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262E8E" w:rsidRPr="00440FB5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262E8E" w:rsidRPr="00440FB5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262E8E" w:rsidRPr="007D0FA7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Можарского сельского поселения </w:t>
      </w:r>
    </w:p>
    <w:p w:rsidR="00262E8E" w:rsidRPr="007D0FA7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Янтиковского района Чувашской Республики </w:t>
      </w:r>
    </w:p>
    <w:p w:rsidR="00262E8E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E8E" w:rsidRPr="00440FB5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262E8E" w:rsidRPr="00440FB5" w:rsidRDefault="00262E8E" w:rsidP="00262E8E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262E8E" w:rsidRDefault="00262E8E" w:rsidP="00262E8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2" w:name="Par151"/>
      <w:bookmarkEnd w:id="2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</w:t>
      </w:r>
    </w:p>
    <w:p w:rsidR="00262E8E" w:rsidRPr="007D0FA7" w:rsidRDefault="00262E8E" w:rsidP="00262E8E">
      <w:pPr>
        <w:pStyle w:val="ConsPlusNonformat"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FA7">
        <w:rPr>
          <w:rFonts w:ascii="Times New Roman" w:hAnsi="Times New Roman" w:cs="Times New Roman"/>
          <w:color w:val="000000" w:themeColor="text1"/>
          <w:sz w:val="24"/>
          <w:szCs w:val="24"/>
        </w:rPr>
        <w:t>Можарского сельского поселения Янтиковского района Чувашской Республики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62E8E" w:rsidRPr="00440FB5" w:rsidRDefault="00262E8E" w:rsidP="00262E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 w:rsidRPr="001827C5">
        <w:rPr>
          <w:color w:val="000000" w:themeColor="text1"/>
        </w:rPr>
        <w:t>Можарского сельского поселения Янтиковского района Чувашской Республики</w:t>
      </w:r>
    </w:p>
    <w:p w:rsidR="00262E8E" w:rsidRPr="00440FB5" w:rsidRDefault="00262E8E" w:rsidP="00262E8E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(наименование здания, сооружения, его место нахождения)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262E8E" w:rsidRPr="00440FB5" w:rsidRDefault="00262E8E" w:rsidP="00262E8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262E8E" w:rsidRPr="00440FB5" w:rsidRDefault="00262E8E" w:rsidP="00262E8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(материалы </w:t>
      </w:r>
      <w:proofErr w:type="spell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262E8E" w:rsidRPr="00440FB5" w:rsidRDefault="00262E8E" w:rsidP="00262E8E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262E8E" w:rsidRPr="00440FB5" w:rsidRDefault="00262E8E" w:rsidP="00262E8E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262E8E" w:rsidRPr="00440FB5" w:rsidRDefault="00262E8E" w:rsidP="00262E8E">
      <w:pPr>
        <w:spacing w:before="100" w:beforeAutospacing="1"/>
        <w:rPr>
          <w:rFonts w:ascii="Times New Roman" w:hAnsi="Times New Roman"/>
          <w:color w:val="000000" w:themeColor="text1"/>
          <w:sz w:val="24"/>
          <w:szCs w:val="24"/>
        </w:rPr>
      </w:pPr>
    </w:p>
    <w:p w:rsidR="00451F1C" w:rsidRPr="00451F1C" w:rsidRDefault="00451F1C" w:rsidP="00451F1C">
      <w:pPr>
        <w:pStyle w:val="Style7"/>
        <w:widowControl/>
        <w:tabs>
          <w:tab w:val="left" w:pos="1019"/>
        </w:tabs>
        <w:spacing w:line="240" w:lineRule="auto"/>
        <w:rPr>
          <w:sz w:val="26"/>
          <w:szCs w:val="26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50F7A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8CD"/>
    <w:multiLevelType w:val="hybridMultilevel"/>
    <w:tmpl w:val="BC42DA38"/>
    <w:lvl w:ilvl="0" w:tplc="F9A6EEE0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F41A27"/>
    <w:multiLevelType w:val="hybridMultilevel"/>
    <w:tmpl w:val="EFD8EFAA"/>
    <w:lvl w:ilvl="0" w:tplc="B8EE09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219E63E9"/>
    <w:multiLevelType w:val="hybridMultilevel"/>
    <w:tmpl w:val="9B28E610"/>
    <w:lvl w:ilvl="0" w:tplc="F036FF9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9010A1B"/>
    <w:multiLevelType w:val="hybridMultilevel"/>
    <w:tmpl w:val="D4707BEE"/>
    <w:lvl w:ilvl="0" w:tplc="D7DC9222">
      <w:start w:val="1"/>
      <w:numFmt w:val="decimal"/>
      <w:lvlText w:val="%1."/>
      <w:lvlJc w:val="left"/>
      <w:pPr>
        <w:ind w:left="1349" w:hanging="81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6E84427"/>
    <w:multiLevelType w:val="hybridMultilevel"/>
    <w:tmpl w:val="2020E974"/>
    <w:lvl w:ilvl="0" w:tplc="7DF6B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7A"/>
    <w:rsid w:val="00233006"/>
    <w:rsid w:val="00262E8E"/>
    <w:rsid w:val="002E0374"/>
    <w:rsid w:val="002E64F1"/>
    <w:rsid w:val="00321824"/>
    <w:rsid w:val="003441DF"/>
    <w:rsid w:val="00451F1C"/>
    <w:rsid w:val="00482E16"/>
    <w:rsid w:val="005E5C62"/>
    <w:rsid w:val="005F03ED"/>
    <w:rsid w:val="006007A5"/>
    <w:rsid w:val="00616C65"/>
    <w:rsid w:val="00737480"/>
    <w:rsid w:val="007C399D"/>
    <w:rsid w:val="00A01EB9"/>
    <w:rsid w:val="00A56D89"/>
    <w:rsid w:val="00B13FC6"/>
    <w:rsid w:val="00B46F39"/>
    <w:rsid w:val="00B50F7A"/>
    <w:rsid w:val="00C82ABF"/>
    <w:rsid w:val="00D23E84"/>
    <w:rsid w:val="00D45798"/>
    <w:rsid w:val="00D6372D"/>
    <w:rsid w:val="00E22669"/>
    <w:rsid w:val="00E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616C65"/>
    <w:pPr>
      <w:spacing w:line="360" w:lineRule="atLeast"/>
      <w:ind w:left="720" w:right="113"/>
      <w:contextualSpacing/>
      <w:jc w:val="center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2E16"/>
    <w:rPr>
      <w:color w:val="0000FF"/>
      <w:u w:val="single"/>
    </w:rPr>
  </w:style>
  <w:style w:type="paragraph" w:styleId="2">
    <w:name w:val="Body Text 2"/>
    <w:basedOn w:val="a"/>
    <w:link w:val="20"/>
    <w:rsid w:val="007C399D"/>
    <w:pPr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3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451F1C"/>
    <w:pPr>
      <w:widowControl w:val="0"/>
      <w:autoSpaceDE w:val="0"/>
      <w:autoSpaceDN w:val="0"/>
      <w:adjustRightInd w:val="0"/>
      <w:spacing w:line="309" w:lineRule="exact"/>
      <w:ind w:firstLine="66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51F1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6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2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62E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2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фыв</cp:lastModifiedBy>
  <cp:revision>23</cp:revision>
  <cp:lastPrinted>2022-08-25T05:38:00Z</cp:lastPrinted>
  <dcterms:created xsi:type="dcterms:W3CDTF">2019-03-12T05:53:00Z</dcterms:created>
  <dcterms:modified xsi:type="dcterms:W3CDTF">2022-08-25T05:39:00Z</dcterms:modified>
</cp:coreProperties>
</file>