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1F" w:rsidRPr="00C55E1F" w:rsidRDefault="00C55E1F" w:rsidP="00C55E1F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</w:pPr>
      <w:r w:rsidRPr="00C55E1F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ru-RU"/>
        </w:rPr>
        <w:t>О бесплатной юридической помощи</w:t>
      </w:r>
    </w:p>
    <w:p w:rsidR="00C55E1F" w:rsidRPr="00C55E1F" w:rsidRDefault="00C55E1F" w:rsidP="00C55E1F">
      <w:pPr>
        <w:spacing w:before="100" w:beforeAutospacing="1" w:after="100" w:afterAutospacing="1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Выписка из Закона Чувашской Республики от 30 марта 2012 г. № 20 «О бесплатной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юридической помощи в Чувашской Республике»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Статья 5. 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1. </w:t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форме граждан, указанных в статье 6 настоящего Закона, составляют для них заявления,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жалобы, ходатайства и другие документы правового характера в следующих случаях: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1) заключение, изменение, расторжение, признание недействительными сделок с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недвижимым имуществом, государственная регистрация прав на недвижимое имущество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и сделок с ним (в случае, если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квартира, жилой дом или их части являются единственным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жилым помещением гражданина и его семьи);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единственным жилым помещением гражданина и его семьи), расторжение и прекращение договора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находятся жилой дом или его часть, являющиеся единственным жилым помещением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гражданина и его семьи);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4) защита прав потребителей (в части предоставления коммунальных услуг);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5) отказ работодателя в заключени</w:t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и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трудового договора, нарушающий гарантии,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установленные Трудовым кодексом Российской Федерации, восстановление на работе,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6) признание гражданина безработным и установление пособия по безработице;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8) предоставление мер социальной поддержки, оказание малоимущим гражданам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государственной социальной помощи, предоставление субсидий на оплату жилого помещения и коммунальных услуг;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9) назначение, перерасчет и взыскание страховых пенсий по старости, пенсий по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пособия по уходу за ребенком, социального пособия на погребение;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10) установление и оспаривание отцовства (материнства), взыскание алиментов;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10.1) установление усыновления, опеки или попечительства над детьми-сиротами 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детьми, оставшимися без попечения родителей, заключение договора об осуществлении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опеки или попечительства над такими детьми;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11) реабилитация граждан, пострадавших от политических репрессий;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12) ограничение дееспособности;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13) обжалование нарушений прав и свобод граждан при оказании психиатрической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помощи;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14) медико-социальная экспертиза и реабилитация инвалидов;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15) обжалование во внесудебном порядке актов органов государственной власти,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органов местного самоуправления и должностных лиц;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чрезвычайной ситуации.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2.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указанных в статье 6 настоящего Закона, если они являются: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1) истцами и ответчиками при рассмотрении судами дел о: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а) расторжении, признании недействительными сделок с недвижимым имуществом,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о государственной регистрации прав на недвижимое имущество и сделок с ним и об отказе в государственной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регистрации таких прав (в случае, если квартира, жилой дом или их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части являются единственным жилым помещением гражданина и его семьи);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оставшихся без попечения родителей, расторжении и прекращении договора социального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найма жилого помещения, выселении из жилого помещения (в случае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, если квартира,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жилой дом или их части являются единственным жилым помещением гражданина и его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выселении из указанного жилого помещения;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</w:t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т-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spell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ся</w:t>
      </w:r>
      <w:proofErr w:type="spell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жилой дом или его часть, являющиеся единственным жилым помещением гражданина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и его семьи);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2) истцами (заявителями) при рассмотрении судами дел: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а) о взыскании алиментов;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в) об установлении усыновления, опеки или попечительства в отношении </w:t>
      </w:r>
      <w:proofErr w:type="spell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детейсирот</w:t>
      </w:r>
      <w:proofErr w:type="spell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и детей, оставшихся без попечения родителей, о заключении договора об осуществлении опеки или попечительства над такими детьми;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г) об обеспечении мер государственной поддержки детям-инвалидам, </w:t>
      </w:r>
      <w:proofErr w:type="spell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детямсиротам</w:t>
      </w:r>
      <w:proofErr w:type="spell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, детям, оставшимся без попечения родителей, лицам из числа детей-сирот и детей, оставшихся без попечения родителей;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3) гражданами, в отношении которых судом рассматривается заявление о признании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их недееспособными или заявление о признании гражданина дееспособным;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4) гражданами, пострадавшими от политических репрессий, - по вопросам, связанным с реабилитацией;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госпитализации в психиатрическом стационаре;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2.1. Порядок, условия и организационно-правовое обеспечение реализации права на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получение бесплатной юридической помощи гражданами, пострадавшими в результате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чрезвычайной ситуации, в рамках государственной системы бесплатной юридической помощи регулируются Федеральным законом, другими федеральными законами и иными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нормативными правовыми актами Российской Федерации, настоящим Законом и нормативными правовыми актами Кабинета Министров Чувашской Республики.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3. В соответствии с Федеральным законом от 31 мая 2002 года N 63-ФЗ "Об адвокатской деятельности и адвокатуре в Российской Федерации" в случаях, предусмотренных федеральным законом, адвокат, являющийся участником государственной системы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бесплатной юридической помощи, должен иметь ордер на исполнение поручения, выдаваемый соответствующим адвокатским образованием. В иных случаях адвокат, являющийся участником государственной системы бесплатной юридической помощи, представляет доверителя на основании доверенности.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 xml:space="preserve">Статья 6. </w:t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помощи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1) граждане, среднедушевой доход семей которых ниже величины прожиточного минимума, установленного в Чувашской Республике в соответствии с законодательством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Российской Федерации, либо одиноко проживающие граждане, доходы которых ниже</w:t>
      </w:r>
      <w:proofErr w:type="gramEnd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</w:t>
      </w:r>
      <w:proofErr w:type="gramStart"/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t>величины прожиточного минимума (далее - малоимущие граждане);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2) инвалиды I и II группы;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3) ветераны Великой Отечественной войны, вдовы погибших (умерших) участников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Великой Отечественной войны, ветераны боевых действий, члены семей погибших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(умерших) ветеранов боевых действий, Герои Российской Федерации, Герои Советского</w:t>
      </w:r>
      <w:r w:rsidRPr="00C55E1F">
        <w:rPr>
          <w:rFonts w:ascii="Verdana" w:eastAsia="Times New Roman" w:hAnsi="Verdana" w:cs="Times New Roman"/>
          <w:sz w:val="17"/>
          <w:szCs w:val="17"/>
          <w:lang w:eastAsia="ru-RU"/>
        </w:rPr>
        <w:br/>
        <w:t>Союза, Герои Социалистического Труда, Герои Труда Российской Федерации;</w:t>
      </w:r>
      <w:proofErr w:type="gramEnd"/>
    </w:p>
    <w:p w:rsidR="0010672D" w:rsidRDefault="00C55E1F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1F"/>
    <w:rsid w:val="00036CCD"/>
    <w:rsid w:val="00160368"/>
    <w:rsid w:val="003303F4"/>
    <w:rsid w:val="003B2FDA"/>
    <w:rsid w:val="003F2A14"/>
    <w:rsid w:val="006C213B"/>
    <w:rsid w:val="006E750E"/>
    <w:rsid w:val="00C55E1F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C55E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8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3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32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2021-05-27T09:17:00Z</dcterms:created>
  <dcterms:modified xsi:type="dcterms:W3CDTF">2021-05-27T09:17:00Z</dcterms:modified>
</cp:coreProperties>
</file>