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401150">
      <w:pPr>
        <w:pStyle w:val="ConsPlusTitle"/>
        <w:widowControl/>
        <w:ind w:right="4819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C4D6EEA" wp14:editId="61A4DA07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45200F" w:rsidP="0045200F">
      <w:pPr>
        <w:tabs>
          <w:tab w:val="left" w:pos="7800"/>
        </w:tabs>
      </w:pPr>
      <w:r>
        <w:tab/>
      </w: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1150"/>
        <w:gridCol w:w="4161"/>
      </w:tblGrid>
      <w:tr w:rsidR="00E12876" w:rsidTr="005F0797">
        <w:trPr>
          <w:trHeight w:hRule="exact" w:val="597"/>
        </w:trPr>
        <w:tc>
          <w:tcPr>
            <w:tcW w:w="4134" w:type="dxa"/>
            <w:vMerge w:val="restart"/>
          </w:tcPr>
          <w:p w:rsidR="00E12876" w:rsidRDefault="00E12876" w:rsidP="00D21B7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50" w:type="dxa"/>
            <w:vMerge w:val="restart"/>
          </w:tcPr>
          <w:p w:rsidR="00E12876" w:rsidRDefault="00E12876" w:rsidP="00D21B7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161" w:type="dxa"/>
          </w:tcPr>
          <w:p w:rsidR="00E12876" w:rsidRDefault="00E12876" w:rsidP="00D21B7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E12876" w:rsidRDefault="00E12876" w:rsidP="00D21B7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E12876" w:rsidRDefault="00E12876" w:rsidP="00D21B7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12876" w:rsidTr="005F0797">
        <w:trPr>
          <w:trHeight w:hRule="exact" w:val="50"/>
        </w:trPr>
        <w:tc>
          <w:tcPr>
            <w:tcW w:w="4134" w:type="dxa"/>
            <w:vMerge/>
          </w:tcPr>
          <w:p w:rsidR="00E12876" w:rsidRDefault="00E12876" w:rsidP="00D21B71">
            <w:pPr>
              <w:snapToGrid w:val="0"/>
            </w:pPr>
          </w:p>
        </w:tc>
        <w:tc>
          <w:tcPr>
            <w:tcW w:w="1150" w:type="dxa"/>
            <w:vMerge/>
          </w:tcPr>
          <w:p w:rsidR="00E12876" w:rsidRDefault="00E12876" w:rsidP="00D21B71">
            <w:pPr>
              <w:snapToGrid w:val="0"/>
            </w:pPr>
          </w:p>
        </w:tc>
        <w:tc>
          <w:tcPr>
            <w:tcW w:w="4161" w:type="dxa"/>
            <w:vMerge w:val="restart"/>
          </w:tcPr>
          <w:p w:rsidR="00E12876" w:rsidRDefault="00E12876" w:rsidP="00D21B7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E12876" w:rsidRPr="00694B8C" w:rsidRDefault="00E12876" w:rsidP="00D21B7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E12876" w:rsidRPr="00694B8C" w:rsidRDefault="00E12876" w:rsidP="00D21B71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E12876" w:rsidRPr="00694B8C" w:rsidRDefault="00E12876" w:rsidP="00D21B71">
            <w:pPr>
              <w:pStyle w:val="a9"/>
              <w:jc w:val="center"/>
            </w:pPr>
          </w:p>
          <w:p w:rsidR="00E12876" w:rsidRPr="00694B8C" w:rsidRDefault="00E12876" w:rsidP="00D21B71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E12876" w:rsidRPr="005E0CDE" w:rsidRDefault="00CD7804" w:rsidP="00D21B71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«</w:t>
            </w:r>
            <w:r w:rsidR="00116293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20</w:t>
            </w:r>
            <w:r w:rsidR="00C21DD8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» </w:t>
            </w:r>
            <w:proofErr w:type="spellStart"/>
            <w:r w:rsidR="00116293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утă</w:t>
            </w:r>
            <w:proofErr w:type="spellEnd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>202</w:t>
            </w:r>
            <w:r w:rsidR="00895EE4">
              <w:rPr>
                <w:rFonts w:ascii="Times New Roman" w:hAnsi="Times New Roman" w:cs="Times New Roman"/>
                <w:b/>
                <w:color w:val="000000"/>
                <w:sz w:val="26"/>
              </w:rPr>
              <w:t>1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ç.</w:t>
            </w:r>
            <w:r w:rsidR="00895EE4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FF7ECD">
              <w:rPr>
                <w:rFonts w:ascii="Times New Roman" w:hAnsi="Times New Roman" w:cs="Times New Roman"/>
                <w:b/>
                <w:color w:val="000000"/>
                <w:sz w:val="26"/>
              </w:rPr>
              <w:t>2</w:t>
            </w:r>
            <w:r w:rsidR="00FF7ECD">
              <w:rPr>
                <w:rFonts w:ascii="Times New Roman" w:hAnsi="Times New Roman" w:cs="Times New Roman"/>
                <w:b/>
                <w:color w:val="000000"/>
                <w:sz w:val="26"/>
                <w:lang w:val="en-US"/>
              </w:rPr>
              <w:t>4</w:t>
            </w:r>
            <w:bookmarkStart w:id="0" w:name="_GoBack"/>
            <w:bookmarkEnd w:id="0"/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E12876" w:rsidRDefault="00E12876" w:rsidP="00D21B71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Тикаш ялě</w:t>
            </w:r>
          </w:p>
          <w:p w:rsidR="00E12876" w:rsidRDefault="00E12876" w:rsidP="00D21B71">
            <w:pPr>
              <w:jc w:val="center"/>
              <w:rPr>
                <w:color w:val="000000"/>
                <w:sz w:val="26"/>
              </w:rPr>
            </w:pPr>
          </w:p>
        </w:tc>
      </w:tr>
      <w:tr w:rsidR="00E12876" w:rsidTr="00895EE4">
        <w:trPr>
          <w:trHeight w:hRule="exact" w:val="2038"/>
        </w:trPr>
        <w:tc>
          <w:tcPr>
            <w:tcW w:w="4134" w:type="dxa"/>
          </w:tcPr>
          <w:p w:rsidR="00E12876" w:rsidRPr="00694B8C" w:rsidRDefault="00E12876" w:rsidP="00D21B7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E12876" w:rsidRPr="00694B8C" w:rsidRDefault="00E12876" w:rsidP="00D21B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E12876" w:rsidRPr="00694B8C" w:rsidRDefault="00E12876" w:rsidP="00D21B7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76" w:rsidRDefault="00E12876" w:rsidP="00D21B71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E12876" w:rsidRDefault="00E12876" w:rsidP="00D21B71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E12876" w:rsidRPr="00FF7ECD" w:rsidRDefault="00CD7804" w:rsidP="00D21B7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="00116293">
              <w:rPr>
                <w:rFonts w:ascii="Times New Roman" w:hAnsi="Times New Roman" w:cs="Times New Roman"/>
                <w:b/>
                <w:bCs/>
                <w:sz w:val="26"/>
              </w:rPr>
              <w:t>20</w:t>
            </w:r>
            <w:r w:rsidR="00200487">
              <w:rPr>
                <w:rFonts w:ascii="Times New Roman" w:hAnsi="Times New Roman" w:cs="Times New Roman"/>
                <w:b/>
                <w:bCs/>
                <w:sz w:val="26"/>
              </w:rPr>
              <w:t xml:space="preserve">» </w:t>
            </w:r>
            <w:r w:rsidR="00895EE4">
              <w:rPr>
                <w:rFonts w:ascii="Times New Roman" w:hAnsi="Times New Roman" w:cs="Times New Roman"/>
                <w:b/>
                <w:bCs/>
                <w:sz w:val="26"/>
              </w:rPr>
              <w:t>июля</w:t>
            </w:r>
            <w:r w:rsidR="00E1287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>202</w:t>
            </w:r>
            <w:r w:rsidR="00895EE4">
              <w:rPr>
                <w:rFonts w:ascii="Times New Roman" w:hAnsi="Times New Roman" w:cs="Times New Roman"/>
                <w:b/>
                <w:sz w:val="26"/>
              </w:rPr>
              <w:t>1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 xml:space="preserve"> г.</w:t>
            </w:r>
            <w:r w:rsidR="00E12876">
              <w:rPr>
                <w:rFonts w:ascii="Times New Roman" w:hAnsi="Times New Roman" w:cs="Times New Roman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FF7ECD">
              <w:rPr>
                <w:rFonts w:ascii="Times New Roman" w:hAnsi="Times New Roman" w:cs="Times New Roman"/>
                <w:b/>
                <w:sz w:val="26"/>
              </w:rPr>
              <w:t>2</w:t>
            </w:r>
            <w:r w:rsidR="00FF7ECD" w:rsidRPr="00FF7ECD">
              <w:rPr>
                <w:rFonts w:ascii="Times New Roman" w:hAnsi="Times New Roman" w:cs="Times New Roman"/>
                <w:b/>
                <w:sz w:val="26"/>
              </w:rPr>
              <w:t>4</w:t>
            </w:r>
          </w:p>
          <w:p w:rsidR="00E12876" w:rsidRDefault="00E12876" w:rsidP="00D21B71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50" w:type="dxa"/>
            <w:vMerge/>
          </w:tcPr>
          <w:p w:rsidR="00E12876" w:rsidRDefault="00E12876" w:rsidP="00D21B71">
            <w:pPr>
              <w:snapToGrid w:val="0"/>
            </w:pPr>
          </w:p>
        </w:tc>
        <w:tc>
          <w:tcPr>
            <w:tcW w:w="4161" w:type="dxa"/>
            <w:vMerge/>
          </w:tcPr>
          <w:p w:rsidR="00E12876" w:rsidRDefault="00E12876" w:rsidP="00D21B71">
            <w:pPr>
              <w:snapToGrid w:val="0"/>
            </w:pPr>
          </w:p>
        </w:tc>
      </w:tr>
    </w:tbl>
    <w:p w:rsidR="00E57BCB" w:rsidRPr="00834EF4" w:rsidRDefault="00E57BCB" w:rsidP="00232F8B">
      <w:pPr>
        <w:ind w:right="42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EF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096ACE" w:rsidRPr="00834EF4">
        <w:rPr>
          <w:rFonts w:ascii="Times New Roman" w:hAnsi="Times New Roman" w:cs="Times New Roman"/>
          <w:sz w:val="24"/>
          <w:szCs w:val="24"/>
        </w:rPr>
        <w:t xml:space="preserve"> </w:t>
      </w:r>
      <w:r w:rsidRPr="00834EF4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</w:t>
      </w:r>
      <w:r w:rsidR="00834EF4">
        <w:rPr>
          <w:rFonts w:ascii="Times New Roman" w:hAnsi="Times New Roman" w:cs="Times New Roman"/>
          <w:sz w:val="24"/>
          <w:szCs w:val="24"/>
        </w:rPr>
        <w:t xml:space="preserve"> </w:t>
      </w:r>
      <w:r w:rsidRPr="00834EF4">
        <w:rPr>
          <w:rFonts w:ascii="Times New Roman" w:hAnsi="Times New Roman" w:cs="Times New Roman"/>
          <w:sz w:val="24"/>
          <w:szCs w:val="24"/>
        </w:rPr>
        <w:t>эффективности на территории Тегешевского</w:t>
      </w:r>
      <w:r w:rsidR="00096ACE" w:rsidRPr="00834EF4">
        <w:rPr>
          <w:rFonts w:ascii="Times New Roman" w:hAnsi="Times New Roman" w:cs="Times New Roman"/>
          <w:sz w:val="24"/>
          <w:szCs w:val="24"/>
        </w:rPr>
        <w:t xml:space="preserve"> </w:t>
      </w:r>
      <w:r w:rsidRPr="00834EF4">
        <w:rPr>
          <w:rFonts w:ascii="Times New Roman" w:hAnsi="Times New Roman" w:cs="Times New Roman"/>
          <w:sz w:val="24"/>
          <w:szCs w:val="24"/>
        </w:rPr>
        <w:t>сельского поселения Урмарского района</w:t>
      </w:r>
      <w:r w:rsidR="00834EF4">
        <w:rPr>
          <w:rFonts w:ascii="Times New Roman" w:hAnsi="Times New Roman" w:cs="Times New Roman"/>
          <w:sz w:val="24"/>
          <w:szCs w:val="24"/>
        </w:rPr>
        <w:t xml:space="preserve"> </w:t>
      </w:r>
      <w:r w:rsidRPr="00834EF4">
        <w:rPr>
          <w:rFonts w:ascii="Times New Roman" w:hAnsi="Times New Roman" w:cs="Times New Roman"/>
          <w:sz w:val="24"/>
          <w:szCs w:val="24"/>
        </w:rPr>
        <w:t>Чувашской Республики на 2021-202</w:t>
      </w:r>
      <w:r w:rsidR="00895EE4">
        <w:rPr>
          <w:rFonts w:ascii="Times New Roman" w:hAnsi="Times New Roman" w:cs="Times New Roman"/>
          <w:sz w:val="24"/>
          <w:szCs w:val="24"/>
        </w:rPr>
        <w:t>3</w:t>
      </w:r>
      <w:r w:rsidRPr="00834EF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57BCB" w:rsidRPr="000817DE" w:rsidRDefault="00E57BCB" w:rsidP="00232F8B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23.11.2009 №261-ФЗ «Об энергосбережении и о повышении энергетической эффективности и о внесении изменений в отдельные законодател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акты Российской Федерации»</w:t>
      </w:r>
      <w:r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19.07.2018 г. №221-ФЗ «О внесении изменений в Федеральный закон «Об энергосбережении и о повышении энергетической эффективности»,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реализации мероприятий в области энергосбережения и повышения энергетической эффективности на территории </w:t>
      </w:r>
      <w:r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Тегешевского сельского поселения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Урмарского района Чувашской Республики</w:t>
      </w:r>
      <w:r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администрация Тегешевского сельского поселения </w:t>
      </w:r>
      <w:proofErr w:type="gramStart"/>
      <w:r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E57BCB" w:rsidRPr="000817DE" w:rsidRDefault="00895EE4" w:rsidP="00895EE4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п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рограмму «Энергосбережение и повышение энергетической эффективности на территории Тегешевского сельского поселения 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Урмарского района Чувашской республики 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на 2021-202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3 годы» согласно приложению.</w:t>
      </w:r>
    </w:p>
    <w:p w:rsidR="00E57BCB" w:rsidRDefault="00895EE4" w:rsidP="00895EE4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Установить, что в ходе реализации муниципальной программы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нергосбережени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энергетической эффективности на территории Тегешевского сельского поселения на 2021-202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895EE4" w:rsidRPr="00834EF4" w:rsidRDefault="00895EE4" w:rsidP="00895EE4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34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Тегешевского сельского поселения Урмарского района Чувашской Республики от 27 ноября 2020 года № 49 «</w:t>
      </w:r>
      <w:r w:rsidRPr="00834EF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F4">
        <w:rPr>
          <w:rFonts w:ascii="Times New Roman" w:hAnsi="Times New Roman" w:cs="Times New Roman"/>
          <w:sz w:val="24"/>
          <w:szCs w:val="24"/>
        </w:rPr>
        <w:t>эффективности на территории Тегешевского сельского поселения Урмарского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F4">
        <w:rPr>
          <w:rFonts w:ascii="Times New Roman" w:hAnsi="Times New Roman" w:cs="Times New Roman"/>
          <w:sz w:val="24"/>
          <w:szCs w:val="24"/>
        </w:rPr>
        <w:t>Чувашской Республики на 2021-2025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F8B" w:rsidRDefault="00895EE4" w:rsidP="00232F8B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57BCB" w:rsidRPr="000817D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информационном бюллетене «Вести поселения» и подлежит размещению на официальном сайте администрации Тегешевского сельского поселения.</w:t>
      </w:r>
    </w:p>
    <w:p w:rsidR="000817DE" w:rsidRPr="000817DE" w:rsidRDefault="000817DE" w:rsidP="00232F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817DE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                        </w:t>
      </w:r>
      <w:r w:rsidRPr="000817D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D21B71" w:rsidRPr="00232F8B" w:rsidRDefault="00232F8B" w:rsidP="00232F8B">
      <w:pPr>
        <w:tabs>
          <w:tab w:val="left" w:pos="4440"/>
        </w:tabs>
        <w:ind w:left="141" w:right="839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</w:p>
    <w:tbl>
      <w:tblPr>
        <w:tblpPr w:leftFromText="180" w:rightFromText="180" w:vertAnchor="text" w:horzAnchor="page" w:tblpX="5691" w:tblpY="114"/>
        <w:tblOverlap w:val="never"/>
        <w:tblW w:w="0" w:type="auto"/>
        <w:tblLook w:val="04A0" w:firstRow="1" w:lastRow="0" w:firstColumn="1" w:lastColumn="0" w:noHBand="0" w:noVBand="1"/>
      </w:tblPr>
      <w:tblGrid>
        <w:gridCol w:w="4985"/>
      </w:tblGrid>
      <w:tr w:rsidR="00D21B71" w:rsidRPr="00232F8B" w:rsidTr="00232F8B">
        <w:trPr>
          <w:trHeight w:val="210"/>
        </w:trPr>
        <w:tc>
          <w:tcPr>
            <w:tcW w:w="4985" w:type="dxa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D21B71" w:rsidRPr="00232F8B" w:rsidTr="00232F8B">
        <w:trPr>
          <w:trHeight w:val="669"/>
        </w:trPr>
        <w:tc>
          <w:tcPr>
            <w:tcW w:w="4985" w:type="dxa"/>
          </w:tcPr>
          <w:p w:rsidR="00232F8B" w:rsidRDefault="00D21B71" w:rsidP="002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3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45204">
              <w:rPr>
                <w:rFonts w:ascii="Times New Roman" w:hAnsi="Times New Roman" w:cs="Times New Roman"/>
                <w:sz w:val="24"/>
                <w:szCs w:val="24"/>
              </w:rPr>
              <w:t>Тегешевского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Урмарского района Чувашской Республики</w:t>
            </w:r>
          </w:p>
          <w:p w:rsidR="00D21B71" w:rsidRPr="00232F8B" w:rsidRDefault="00D21B71" w:rsidP="0023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32F8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D21B71" w:rsidRPr="00232F8B" w:rsidTr="00232F8B">
        <w:trPr>
          <w:trHeight w:val="411"/>
        </w:trPr>
        <w:tc>
          <w:tcPr>
            <w:tcW w:w="4985" w:type="dxa"/>
          </w:tcPr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629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B71" w:rsidRPr="00232F8B" w:rsidRDefault="00D21B71" w:rsidP="00D21B71">
      <w:pPr>
        <w:pStyle w:val="ab"/>
        <w:ind w:left="1418"/>
        <w:rPr>
          <w:rFonts w:ascii="Times New Roman" w:hAnsi="Times New Roman"/>
          <w:sz w:val="24"/>
          <w:szCs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D21B71" w:rsidRPr="00232F8B" w:rsidRDefault="00D21B71" w:rsidP="00D21B71">
      <w:pPr>
        <w:pStyle w:val="af"/>
        <w:ind w:left="1745"/>
        <w:jc w:val="left"/>
        <w:rPr>
          <w:b/>
          <w:sz w:val="24"/>
        </w:rPr>
      </w:pPr>
    </w:p>
    <w:p w:rsidR="00232F8B" w:rsidRDefault="00232F8B" w:rsidP="00D21B71">
      <w:pPr>
        <w:pStyle w:val="af"/>
        <w:ind w:right="-24"/>
        <w:rPr>
          <w:b/>
          <w:sz w:val="24"/>
        </w:rPr>
      </w:pPr>
    </w:p>
    <w:p w:rsidR="00232F8B" w:rsidRDefault="00232F8B" w:rsidP="00232F8B">
      <w:pPr>
        <w:pStyle w:val="af"/>
        <w:ind w:right="-24"/>
        <w:rPr>
          <w:b/>
          <w:sz w:val="24"/>
        </w:rPr>
      </w:pPr>
    </w:p>
    <w:p w:rsidR="00D21B71" w:rsidRPr="00232F8B" w:rsidRDefault="00D21B71" w:rsidP="00232F8B">
      <w:pPr>
        <w:pStyle w:val="af"/>
        <w:ind w:right="-24"/>
        <w:rPr>
          <w:b/>
          <w:sz w:val="24"/>
        </w:rPr>
      </w:pPr>
      <w:r w:rsidRPr="00232F8B">
        <w:rPr>
          <w:b/>
          <w:sz w:val="24"/>
        </w:rPr>
        <w:t xml:space="preserve">ПРОГРАММА </w:t>
      </w:r>
      <w:r w:rsidR="00232F8B">
        <w:rPr>
          <w:b/>
          <w:sz w:val="24"/>
        </w:rPr>
        <w:t xml:space="preserve">энергосбережения и </w:t>
      </w:r>
      <w:r w:rsidRPr="00232F8B">
        <w:rPr>
          <w:b/>
          <w:sz w:val="24"/>
        </w:rPr>
        <w:t>повышения энергетической эффективнос</w:t>
      </w:r>
      <w:r w:rsidR="00232F8B">
        <w:rPr>
          <w:b/>
          <w:sz w:val="24"/>
        </w:rPr>
        <w:t>ти</w:t>
      </w:r>
    </w:p>
    <w:p w:rsidR="00D21B71" w:rsidRPr="00232F8B" w:rsidRDefault="00D21B71" w:rsidP="00232F8B">
      <w:pPr>
        <w:pStyle w:val="af"/>
        <w:ind w:right="-24"/>
        <w:rPr>
          <w:b/>
          <w:sz w:val="24"/>
        </w:rPr>
      </w:pPr>
    </w:p>
    <w:p w:rsidR="00232F8B" w:rsidRDefault="00D21B71" w:rsidP="00232F8B">
      <w:pPr>
        <w:pStyle w:val="af"/>
        <w:ind w:right="-24"/>
        <w:rPr>
          <w:b/>
          <w:sz w:val="24"/>
        </w:rPr>
      </w:pPr>
      <w:r w:rsidRPr="00232F8B">
        <w:rPr>
          <w:b/>
          <w:sz w:val="24"/>
        </w:rPr>
        <w:t>Администрации Тегеш</w:t>
      </w:r>
      <w:r w:rsidR="00232F8B">
        <w:rPr>
          <w:b/>
          <w:sz w:val="24"/>
        </w:rPr>
        <w:t>ев</w:t>
      </w:r>
      <w:r w:rsidRPr="00232F8B">
        <w:rPr>
          <w:b/>
          <w:sz w:val="24"/>
        </w:rPr>
        <w:t xml:space="preserve">ского сельского поселения </w:t>
      </w:r>
    </w:p>
    <w:p w:rsidR="00D21B71" w:rsidRPr="00232F8B" w:rsidRDefault="00D21B71" w:rsidP="00232F8B">
      <w:pPr>
        <w:pStyle w:val="af"/>
        <w:ind w:right="-24"/>
        <w:rPr>
          <w:b/>
          <w:sz w:val="24"/>
        </w:rPr>
      </w:pPr>
      <w:r w:rsidRPr="00232F8B">
        <w:rPr>
          <w:b/>
          <w:sz w:val="24"/>
        </w:rPr>
        <w:t>Урмарского района Чувашской Республики</w:t>
      </w:r>
    </w:p>
    <w:p w:rsidR="00D21B71" w:rsidRPr="00232F8B" w:rsidRDefault="00D21B71" w:rsidP="00232F8B">
      <w:pPr>
        <w:pStyle w:val="af"/>
        <w:ind w:right="-24"/>
        <w:rPr>
          <w:b/>
          <w:sz w:val="24"/>
        </w:rPr>
      </w:pPr>
    </w:p>
    <w:p w:rsidR="00D21B71" w:rsidRPr="00232F8B" w:rsidRDefault="00D21B71" w:rsidP="00232F8B">
      <w:pPr>
        <w:pStyle w:val="af"/>
        <w:ind w:right="-24"/>
        <w:rPr>
          <w:b/>
          <w:sz w:val="24"/>
        </w:rPr>
      </w:pPr>
      <w:r w:rsidRPr="00232F8B">
        <w:rPr>
          <w:b/>
          <w:sz w:val="24"/>
        </w:rPr>
        <w:t>на 2021-2023 гг.</w:t>
      </w:r>
    </w:p>
    <w:p w:rsidR="00D21B71" w:rsidRPr="00232F8B" w:rsidRDefault="00D21B71" w:rsidP="00232F8B">
      <w:pPr>
        <w:pStyle w:val="af"/>
        <w:spacing w:line="360" w:lineRule="auto"/>
        <w:ind w:left="1745"/>
        <w:rPr>
          <w:sz w:val="24"/>
        </w:rPr>
      </w:pPr>
    </w:p>
    <w:p w:rsidR="00D21B71" w:rsidRPr="00232F8B" w:rsidRDefault="00D21B71" w:rsidP="0082140A">
      <w:pPr>
        <w:pStyle w:val="111"/>
        <w:numPr>
          <w:ilvl w:val="0"/>
          <w:numId w:val="5"/>
        </w:numPr>
        <w:tabs>
          <w:tab w:val="left" w:pos="1341"/>
        </w:tabs>
        <w:spacing w:before="0" w:after="120"/>
        <w:rPr>
          <w:i/>
        </w:rPr>
      </w:pPr>
      <w:r w:rsidRPr="00232F8B">
        <w:rPr>
          <w:i/>
        </w:rPr>
        <w:t>Паспорт программы энергосбережения и повышения энергетической эффективности.</w:t>
      </w:r>
    </w:p>
    <w:p w:rsidR="00D21B71" w:rsidRPr="00232F8B" w:rsidRDefault="00D21B71" w:rsidP="00D21B71">
      <w:pPr>
        <w:pStyle w:val="af1"/>
        <w:ind w:left="399" w:right="863" w:firstLine="27"/>
        <w:jc w:val="center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ПАСПОРТ</w:t>
      </w:r>
      <w:r w:rsidRPr="00232F8B">
        <w:rPr>
          <w:rFonts w:ascii="Times New Roman" w:hAnsi="Times New Roman" w:cs="Times New Roman"/>
          <w:sz w:val="24"/>
          <w:szCs w:val="24"/>
        </w:rPr>
        <w:br/>
        <w:t>ПРОГРАММЫ ЭНЕРГОСБЕРЕЖЕНИЯ И ПОВЫШЕНИЯ ЭНЕРГЕТИЧЕСКОЙ ЭФФЕКТИВНОСТИ</w:t>
      </w:r>
    </w:p>
    <w:p w:rsidR="00D21B71" w:rsidRPr="00232F8B" w:rsidRDefault="00D21B71" w:rsidP="00D21B71">
      <w:pPr>
        <w:pStyle w:val="af1"/>
        <w:ind w:left="399" w:right="863" w:firstLine="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2F8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945204">
        <w:rPr>
          <w:rFonts w:ascii="Times New Roman" w:hAnsi="Times New Roman" w:cs="Times New Roman"/>
          <w:sz w:val="24"/>
          <w:szCs w:val="24"/>
          <w:u w:val="single"/>
        </w:rPr>
        <w:t>Тегешевского</w:t>
      </w:r>
      <w:r w:rsidRPr="00232F8B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D21B71" w:rsidRPr="00232F8B" w:rsidRDefault="00D21B71" w:rsidP="00D21B71">
      <w:pPr>
        <w:pStyle w:val="af1"/>
        <w:ind w:left="399" w:right="863" w:firstLine="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2F8B">
        <w:rPr>
          <w:rFonts w:ascii="Times New Roman" w:hAnsi="Times New Roman" w:cs="Times New Roman"/>
          <w:sz w:val="24"/>
          <w:szCs w:val="24"/>
          <w:u w:val="single"/>
        </w:rPr>
        <w:t>Урмарского района Чувашской Республики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513"/>
      </w:tblGrid>
      <w:tr w:rsidR="00D21B71" w:rsidRPr="00232F8B" w:rsidTr="00D21B71">
        <w:trPr>
          <w:trHeight w:val="850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5204">
              <w:rPr>
                <w:rFonts w:ascii="Times New Roman" w:hAnsi="Times New Roman" w:cs="Times New Roman"/>
                <w:sz w:val="24"/>
                <w:szCs w:val="24"/>
              </w:rPr>
              <w:t>Тегешевского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Урмарского района Чувашской Республики</w:t>
            </w:r>
          </w:p>
        </w:tc>
      </w:tr>
      <w:tr w:rsidR="00D21B71" w:rsidRPr="00232F8B" w:rsidTr="00945204">
        <w:trPr>
          <w:trHeight w:val="1829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23.11.2009 года № 261-ФЗ «Об энергосбережении и повышении </w:t>
            </w:r>
            <w:proofErr w:type="spellStart"/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» (ред. от 03.07.2016).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их реализации» (Зарегистрировано в Минюсте России 04.08.2014 №33449).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31.12.2009 г. № 1225 «О требованиях к региональным и муниципальным программам энергосбережения и повышения энергетической эффективности».</w:t>
            </w:r>
          </w:p>
        </w:tc>
      </w:tr>
      <w:tr w:rsidR="00D21B71" w:rsidRPr="00232F8B" w:rsidTr="00D21B71">
        <w:trPr>
          <w:trHeight w:val="274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5204">
              <w:rPr>
                <w:rFonts w:ascii="Times New Roman" w:hAnsi="Times New Roman" w:cs="Times New Roman"/>
                <w:sz w:val="24"/>
                <w:szCs w:val="24"/>
              </w:rPr>
              <w:t>Тегешевского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Урмарского района Чувашской Республики</w:t>
            </w:r>
          </w:p>
        </w:tc>
      </w:tr>
      <w:tr w:rsidR="00D21B71" w:rsidRPr="00232F8B" w:rsidTr="00D21B71">
        <w:trPr>
          <w:trHeight w:val="414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5204">
              <w:rPr>
                <w:rFonts w:ascii="Times New Roman" w:hAnsi="Times New Roman" w:cs="Times New Roman"/>
                <w:sz w:val="24"/>
                <w:szCs w:val="24"/>
              </w:rPr>
              <w:t>Тегешевского</w:t>
            </w: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Урмарского района Чувашской Республики;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</w:tr>
      <w:tr w:rsidR="00D21B71" w:rsidRPr="00232F8B" w:rsidTr="00D21B71">
        <w:trPr>
          <w:trHeight w:val="426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1. 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(ред. от 03.07.2016) и другими правовыми документами.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использования топливно-энергетических ресурсов и воды</w:t>
            </w:r>
          </w:p>
        </w:tc>
      </w:tr>
      <w:tr w:rsidR="00D21B71" w:rsidRPr="00232F8B" w:rsidTr="00D21B71">
        <w:trPr>
          <w:trHeight w:val="157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энергосберегающих технологий, оборудования в Учреждении; 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расходов на энергообеспечение; 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объёмов потребляемых энергетических ресурсов; 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- повышение уровня рационального использования ТЭР за счёт внедрения энергосберегающих мероприятий.</w:t>
            </w:r>
          </w:p>
        </w:tc>
      </w:tr>
      <w:tr w:rsidR="00D21B71" w:rsidRPr="00232F8B" w:rsidTr="00D21B71">
        <w:trPr>
          <w:trHeight w:val="157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3" w:type="dxa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- Целевые показатели, характеризующие удельные расходы энергетических ресурсов.</w:t>
            </w:r>
          </w:p>
        </w:tc>
      </w:tr>
      <w:tr w:rsidR="00D21B71" w:rsidRPr="00232F8B" w:rsidTr="00D21B71">
        <w:trPr>
          <w:trHeight w:val="157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232F8B" w:rsidTr="00D21B71">
        <w:trPr>
          <w:trHeight w:val="1701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мероприятий программы необходимо 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предусмотреть на период 2021 – 2023 годы 7 тыс. руб.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- бюджетные средства: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2021 год – 2 тыс. руб.,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2022 год – 2 тыс. руб.,</w:t>
            </w:r>
          </w:p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2023 год – 3 тыс. руб.</w:t>
            </w:r>
          </w:p>
        </w:tc>
      </w:tr>
      <w:tr w:rsidR="00D21B71" w:rsidRPr="00232F8B" w:rsidTr="00945204">
        <w:trPr>
          <w:trHeight w:val="1810"/>
        </w:trPr>
        <w:tc>
          <w:tcPr>
            <w:tcW w:w="2296" w:type="dxa"/>
            <w:vAlign w:val="center"/>
          </w:tcPr>
          <w:p w:rsidR="00D21B71" w:rsidRPr="00232F8B" w:rsidRDefault="00D21B71" w:rsidP="00D21B7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21B71" w:rsidRPr="00232F8B" w:rsidRDefault="00D21B71" w:rsidP="00D21B71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в период 2021 – 2023 годы возможно обеспечить:</w:t>
            </w:r>
          </w:p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- Экономию электрической энергии</w:t>
            </w:r>
          </w:p>
          <w:p w:rsidR="00D21B71" w:rsidRPr="00232F8B" w:rsidRDefault="00D21B71" w:rsidP="00945204">
            <w:pPr>
              <w:pStyle w:val="af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                       0,11 тыс. кВт*</w:t>
            </w:r>
            <w:proofErr w:type="gramStart"/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945204" w:rsidRDefault="00945204" w:rsidP="00D21B71">
      <w:pPr>
        <w:pStyle w:val="111"/>
        <w:tabs>
          <w:tab w:val="left" w:pos="1341"/>
        </w:tabs>
        <w:spacing w:before="0" w:after="120"/>
        <w:ind w:left="0"/>
        <w:jc w:val="center"/>
        <w:rPr>
          <w:spacing w:val="8"/>
        </w:rPr>
      </w:pPr>
      <w:bookmarkStart w:id="1" w:name="2_Основания_для_разработки_настоящей_Про"/>
      <w:bookmarkStart w:id="2" w:name="_bookmark1"/>
      <w:bookmarkEnd w:id="1"/>
      <w:bookmarkEnd w:id="2"/>
    </w:p>
    <w:p w:rsidR="00D21B71" w:rsidRPr="00232F8B" w:rsidRDefault="00D21B71" w:rsidP="00D21B71">
      <w:pPr>
        <w:pStyle w:val="111"/>
        <w:tabs>
          <w:tab w:val="left" w:pos="1341"/>
        </w:tabs>
        <w:spacing w:before="0" w:after="120"/>
        <w:ind w:left="0"/>
        <w:jc w:val="center"/>
        <w:rPr>
          <w:i/>
        </w:rPr>
      </w:pPr>
      <w:r w:rsidRPr="00232F8B">
        <w:rPr>
          <w:spacing w:val="8"/>
        </w:rPr>
        <w:t>2</w:t>
      </w:r>
      <w:r w:rsidRPr="00232F8B">
        <w:rPr>
          <w:i/>
          <w:spacing w:val="8"/>
        </w:rPr>
        <w:t xml:space="preserve">. Основания </w:t>
      </w:r>
      <w:r w:rsidRPr="00232F8B">
        <w:rPr>
          <w:i/>
          <w:spacing w:val="5"/>
        </w:rPr>
        <w:t xml:space="preserve">для </w:t>
      </w:r>
      <w:r w:rsidRPr="00232F8B">
        <w:rPr>
          <w:i/>
          <w:spacing w:val="9"/>
        </w:rPr>
        <w:t xml:space="preserve">разработки настоящей </w:t>
      </w:r>
      <w:r w:rsidRPr="00232F8B">
        <w:rPr>
          <w:i/>
          <w:spacing w:val="8"/>
        </w:rPr>
        <w:t xml:space="preserve">Программы </w:t>
      </w:r>
      <w:r w:rsidRPr="00232F8B">
        <w:rPr>
          <w:i/>
          <w:spacing w:val="9"/>
        </w:rPr>
        <w:t xml:space="preserve">энергосбережения </w:t>
      </w:r>
      <w:r w:rsidRPr="00232F8B">
        <w:rPr>
          <w:i/>
        </w:rPr>
        <w:t>и область ее</w:t>
      </w:r>
      <w:r w:rsidRPr="00232F8B">
        <w:rPr>
          <w:i/>
          <w:spacing w:val="2"/>
        </w:rPr>
        <w:t xml:space="preserve"> </w:t>
      </w:r>
      <w:r w:rsidRPr="00232F8B">
        <w:rPr>
          <w:i/>
        </w:rPr>
        <w:t>распространения.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 w:rsidR="00D21B71" w:rsidRPr="00232F8B" w:rsidRDefault="00D21B71" w:rsidP="0082140A">
      <w:pPr>
        <w:numPr>
          <w:ilvl w:val="0"/>
          <w:numId w:val="7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Pr="00232F8B">
        <w:rPr>
          <w:rFonts w:ascii="Times New Roman" w:hAnsi="Times New Roman" w:cs="Times New Roman"/>
          <w:iCs/>
          <w:sz w:val="24"/>
          <w:szCs w:val="24"/>
        </w:rPr>
        <w:t>, осуществляющих регулируемые виды деятельности, и отчетности о ходе их реализации»;</w:t>
      </w:r>
    </w:p>
    <w:p w:rsidR="00D21B71" w:rsidRPr="00232F8B" w:rsidRDefault="00D21B71" w:rsidP="0082140A">
      <w:pPr>
        <w:numPr>
          <w:ilvl w:val="0"/>
          <w:numId w:val="7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F8B">
        <w:rPr>
          <w:rFonts w:ascii="Times New Roman" w:hAnsi="Times New Roman" w:cs="Times New Roman"/>
          <w:iCs/>
          <w:sz w:val="24"/>
          <w:szCs w:val="24"/>
        </w:rPr>
        <w:t>Постановление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D21B71" w:rsidRPr="00232F8B" w:rsidRDefault="00D21B71" w:rsidP="0082140A">
      <w:pPr>
        <w:numPr>
          <w:ilvl w:val="0"/>
          <w:numId w:val="7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</w:r>
    </w:p>
    <w:p w:rsidR="00D21B71" w:rsidRPr="00232F8B" w:rsidRDefault="00D21B71" w:rsidP="0082140A">
      <w:pPr>
        <w:numPr>
          <w:ilvl w:val="0"/>
          <w:numId w:val="7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F8B">
        <w:rPr>
          <w:rFonts w:ascii="Times New Roman" w:hAnsi="Times New Roman" w:cs="Times New Roman"/>
          <w:iCs/>
          <w:sz w:val="24"/>
          <w:szCs w:val="24"/>
        </w:rPr>
        <w:t xml:space="preserve">Приказ Министерства энергетики РФ от 30 июня 2014 г. № 399 </w:t>
      </w:r>
      <w:r w:rsidRPr="00232F8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2F8B">
        <w:rPr>
          <w:rFonts w:ascii="Times New Roman" w:hAnsi="Times New Roman" w:cs="Times New Roman"/>
          <w:iCs/>
          <w:sz w:val="24"/>
          <w:szCs w:val="24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и рекомендациями следующих документов: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8B">
        <w:rPr>
          <w:rFonts w:ascii="Times New Roman" w:hAnsi="Times New Roman" w:cs="Times New Roman"/>
          <w:iCs/>
          <w:sz w:val="24"/>
          <w:szCs w:val="24"/>
        </w:rPr>
        <w:lastRenderedPageBreak/>
        <w:t>Постановление Правительства РФ от 31.12.2009г. № 1221 «Об утверждении правил установления требований энергетической эффективности товаров</w:t>
      </w:r>
      <w:r w:rsidRPr="00232F8B">
        <w:rPr>
          <w:rFonts w:ascii="Times New Roman" w:hAnsi="Times New Roman" w:cs="Times New Roman"/>
          <w:color w:val="000000"/>
          <w:sz w:val="24"/>
          <w:szCs w:val="24"/>
        </w:rPr>
        <w:t>, услуг, работ, размещения заказов для муниципальных нужд»;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232F8B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232F8B">
        <w:rPr>
          <w:rFonts w:ascii="Times New Roman" w:hAnsi="Times New Roman" w:cs="Times New Roman"/>
          <w:color w:val="000000"/>
          <w:sz w:val="24"/>
          <w:szCs w:val="24"/>
        </w:rPr>
        <w:t>. № 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15 апреля 2014 г. № 321 «Об утверждении государственной программы Российской Федерации «</w:t>
      </w:r>
      <w:proofErr w:type="spellStart"/>
      <w:r w:rsidRPr="00232F8B">
        <w:rPr>
          <w:rFonts w:ascii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232F8B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энергетики»;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>Распоряжения Правительства Российской Федерации от 13.11.2009г. № 1715</w:t>
      </w:r>
      <w:r w:rsidRPr="00232F8B">
        <w:rPr>
          <w:rFonts w:ascii="Times New Roman" w:hAnsi="Times New Roman" w:cs="Times New Roman"/>
          <w:color w:val="000000"/>
          <w:sz w:val="24"/>
          <w:szCs w:val="24"/>
        </w:rPr>
        <w:noBreakHyphen/>
        <w:t>р «Об Энергетической стратегии России на период до 2030 года»;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firstLine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17.11.2008г. года № 1662</w:t>
      </w:r>
      <w:r w:rsidRPr="00232F8B">
        <w:rPr>
          <w:rFonts w:ascii="Times New Roman" w:hAnsi="Times New Roman" w:cs="Times New Roman"/>
          <w:color w:val="000000"/>
          <w:sz w:val="24"/>
          <w:szCs w:val="24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года»;</w:t>
      </w:r>
    </w:p>
    <w:p w:rsidR="00D21B71" w:rsidRPr="00232F8B" w:rsidRDefault="00D21B71" w:rsidP="0082140A">
      <w:pPr>
        <w:numPr>
          <w:ilvl w:val="0"/>
          <w:numId w:val="8"/>
        </w:numPr>
        <w:tabs>
          <w:tab w:val="clear" w:pos="1588"/>
          <w:tab w:val="num" w:pos="0"/>
        </w:tabs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экономического развития РФ от 24 октября 2011 г. № 591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13"/>
        </w:tabs>
        <w:spacing w:before="0" w:after="120"/>
        <w:ind w:left="357" w:hanging="357"/>
        <w:jc w:val="center"/>
        <w:rPr>
          <w:i/>
        </w:rPr>
      </w:pPr>
      <w:bookmarkStart w:id="3" w:name="3_Термины_и_определения,_сокращения,_усл"/>
      <w:bookmarkStart w:id="4" w:name="_bookmark2"/>
      <w:bookmarkStart w:id="5" w:name="4_Введение"/>
      <w:bookmarkStart w:id="6" w:name="_bookmark3"/>
      <w:bookmarkEnd w:id="3"/>
      <w:bookmarkEnd w:id="4"/>
      <w:bookmarkEnd w:id="5"/>
      <w:bookmarkEnd w:id="6"/>
      <w:r w:rsidRPr="00232F8B">
        <w:rPr>
          <w:i/>
          <w:spacing w:val="8"/>
        </w:rPr>
        <w:t>Введение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7" w:name="4.1_Статус_Программы_энергосбережения_и_"/>
      <w:bookmarkStart w:id="8" w:name="_bookmark4"/>
      <w:bookmarkEnd w:id="7"/>
      <w:bookmarkEnd w:id="8"/>
      <w:r w:rsidRPr="00232F8B">
        <w:rPr>
          <w:rFonts w:ascii="Times New Roman" w:hAnsi="Times New Roman" w:cs="Times New Roman"/>
          <w:sz w:val="24"/>
          <w:szCs w:val="24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(топливно-энергетические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13"/>
        </w:tabs>
        <w:spacing w:before="0" w:after="120"/>
        <w:ind w:left="204" w:hanging="204"/>
        <w:jc w:val="center"/>
        <w:rPr>
          <w:i/>
        </w:rPr>
      </w:pPr>
      <w:r w:rsidRPr="00232F8B">
        <w:rPr>
          <w:i/>
        </w:rPr>
        <w:t>Основные сведения учреждения и его деятельность</w:t>
      </w:r>
    </w:p>
    <w:tbl>
      <w:tblPr>
        <w:tblW w:w="98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0"/>
        <w:gridCol w:w="4767"/>
      </w:tblGrid>
      <w:tr w:rsidR="00D21B71" w:rsidRPr="00232F8B" w:rsidTr="00D21B71">
        <w:trPr>
          <w:trHeight w:val="255"/>
          <w:jc w:val="center"/>
        </w:trPr>
        <w:tc>
          <w:tcPr>
            <w:tcW w:w="5060" w:type="dxa"/>
            <w:noWrap/>
            <w:vAlign w:val="center"/>
          </w:tcPr>
          <w:p w:rsidR="00D21B71" w:rsidRPr="00232F8B" w:rsidRDefault="00D21B71" w:rsidP="00D21B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67" w:type="dxa"/>
            <w:noWrap/>
            <w:vAlign w:val="center"/>
          </w:tcPr>
          <w:p w:rsidR="00D21B71" w:rsidRPr="00232F8B" w:rsidRDefault="00D21B71" w:rsidP="00D21B71">
            <w:pPr>
              <w:shd w:val="clear" w:color="auto" w:fill="F9F9F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429408, Чувашская Республика - Чувашия, Урмарский район, деревня Тегешево, Школьная  улица, дом 4</w:t>
            </w:r>
          </w:p>
        </w:tc>
      </w:tr>
      <w:tr w:rsidR="00D21B71" w:rsidRPr="00232F8B" w:rsidTr="00D21B71">
        <w:trPr>
          <w:trHeight w:val="255"/>
          <w:jc w:val="center"/>
        </w:trPr>
        <w:tc>
          <w:tcPr>
            <w:tcW w:w="5060" w:type="dxa"/>
            <w:noWrap/>
            <w:vAlign w:val="center"/>
          </w:tcPr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67" w:type="dxa"/>
            <w:noWrap/>
            <w:vAlign w:val="center"/>
          </w:tcPr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429408, Чувашская Республика - Чувашия, Урмарский район, деревня Тегешево, Школьная улица, дом 4</w:t>
            </w:r>
          </w:p>
        </w:tc>
      </w:tr>
      <w:tr w:rsidR="00D21B71" w:rsidRPr="00232F8B" w:rsidTr="00D21B71">
        <w:trPr>
          <w:trHeight w:val="465"/>
          <w:jc w:val="center"/>
        </w:trPr>
        <w:tc>
          <w:tcPr>
            <w:tcW w:w="5060" w:type="dxa"/>
            <w:noWrap/>
            <w:vAlign w:val="center"/>
          </w:tcPr>
          <w:p w:rsidR="00D21B71" w:rsidRPr="00232F8B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7" w:type="dxa"/>
            <w:noWrap/>
            <w:vAlign w:val="center"/>
          </w:tcPr>
          <w:p w:rsidR="00D21B71" w:rsidRPr="00FB5BC7" w:rsidRDefault="00FB5BC7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2114902422</w:t>
            </w:r>
          </w:p>
        </w:tc>
      </w:tr>
    </w:tbl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945204">
        <w:rPr>
          <w:rFonts w:ascii="Times New Roman" w:hAnsi="Times New Roman" w:cs="Times New Roman"/>
          <w:sz w:val="24"/>
          <w:szCs w:val="24"/>
        </w:rPr>
        <w:t>Тегешевского</w:t>
      </w:r>
      <w:r w:rsidRPr="00232F8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деятельность органов местного самоуправления сельских поселений.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spacing w:before="0" w:after="120"/>
        <w:jc w:val="center"/>
        <w:rPr>
          <w:i/>
        </w:rPr>
      </w:pPr>
      <w:bookmarkStart w:id="9" w:name="5_Анализ_существующего_положения_Учрежде"/>
      <w:bookmarkStart w:id="10" w:name="_bookmark7"/>
      <w:bookmarkEnd w:id="9"/>
      <w:bookmarkEnd w:id="10"/>
      <w:r w:rsidRPr="00232F8B">
        <w:rPr>
          <w:i/>
          <w:spacing w:val="2"/>
        </w:rPr>
        <w:t xml:space="preserve">Анализ существующего положения Учреждения </w:t>
      </w:r>
      <w:r w:rsidRPr="00232F8B">
        <w:rPr>
          <w:i/>
        </w:rPr>
        <w:t xml:space="preserve">в области </w:t>
      </w:r>
      <w:r w:rsidRPr="00232F8B">
        <w:rPr>
          <w:i/>
          <w:spacing w:val="2"/>
        </w:rPr>
        <w:t xml:space="preserve">энергосбережения </w:t>
      </w:r>
      <w:r w:rsidRPr="00232F8B">
        <w:rPr>
          <w:i/>
        </w:rPr>
        <w:t xml:space="preserve">и </w:t>
      </w:r>
      <w:r w:rsidRPr="00232F8B">
        <w:rPr>
          <w:i/>
          <w:spacing w:val="-5"/>
        </w:rPr>
        <w:t>повышения</w:t>
      </w:r>
      <w:r w:rsidRPr="00232F8B">
        <w:rPr>
          <w:i/>
          <w:spacing w:val="-11"/>
        </w:rPr>
        <w:t xml:space="preserve"> </w:t>
      </w:r>
      <w:proofErr w:type="spellStart"/>
      <w:r w:rsidRPr="00232F8B">
        <w:rPr>
          <w:i/>
          <w:spacing w:val="-4"/>
        </w:rPr>
        <w:t>энергоэффективности</w:t>
      </w:r>
      <w:proofErr w:type="spellEnd"/>
    </w:p>
    <w:p w:rsidR="00D21B71" w:rsidRPr="00232F8B" w:rsidRDefault="00D21B71" w:rsidP="0082140A">
      <w:pPr>
        <w:pStyle w:val="a1"/>
        <w:widowControl w:val="0"/>
        <w:numPr>
          <w:ilvl w:val="1"/>
          <w:numId w:val="6"/>
        </w:numPr>
        <w:tabs>
          <w:tab w:val="left" w:pos="1476"/>
        </w:tabs>
        <w:autoSpaceDE w:val="0"/>
        <w:autoSpaceDN w:val="0"/>
        <w:ind w:left="1475" w:hanging="366"/>
        <w:contextualSpacing w:val="0"/>
        <w:rPr>
          <w:i/>
          <w:sz w:val="24"/>
          <w:szCs w:val="24"/>
        </w:rPr>
      </w:pPr>
      <w:bookmarkStart w:id="11" w:name="5.1_Описание_и_анализ_структуры_объектов"/>
      <w:bookmarkStart w:id="12" w:name="_bookmark8"/>
      <w:bookmarkEnd w:id="11"/>
      <w:bookmarkEnd w:id="12"/>
      <w:r w:rsidRPr="00232F8B">
        <w:rPr>
          <w:i/>
          <w:sz w:val="24"/>
          <w:szCs w:val="24"/>
        </w:rPr>
        <w:t>Описание объектов</w:t>
      </w:r>
      <w:r w:rsidRPr="00232F8B">
        <w:rPr>
          <w:i/>
          <w:spacing w:val="3"/>
          <w:sz w:val="24"/>
          <w:szCs w:val="24"/>
        </w:rPr>
        <w:t xml:space="preserve"> </w:t>
      </w:r>
      <w:r w:rsidRPr="00232F8B">
        <w:rPr>
          <w:i/>
          <w:sz w:val="24"/>
          <w:szCs w:val="24"/>
        </w:rPr>
        <w:t>Учреждения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76"/>
        <w:gridCol w:w="635"/>
        <w:gridCol w:w="1005"/>
        <w:gridCol w:w="915"/>
        <w:gridCol w:w="1287"/>
        <w:gridCol w:w="1059"/>
        <w:gridCol w:w="1735"/>
        <w:gridCol w:w="1063"/>
      </w:tblGrid>
      <w:tr w:rsidR="00D21B71" w:rsidRPr="00232F8B" w:rsidTr="00D21B71">
        <w:trPr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6" w:type="dxa"/>
            <w:vMerge w:val="restart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635" w:type="dxa"/>
            <w:vMerge w:val="restart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05" w:type="dxa"/>
            <w:vMerge w:val="restart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23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vMerge w:val="restart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 здания, м</w:t>
            </w:r>
            <w:proofErr w:type="gramStart"/>
            <w:r w:rsidRPr="0023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57" w:type="dxa"/>
            <w:gridSpan w:val="3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</w:t>
            </w:r>
          </w:p>
        </w:tc>
      </w:tr>
      <w:tr w:rsidR="00D21B71" w:rsidRPr="00232F8B" w:rsidTr="00D21B71">
        <w:trPr>
          <w:jc w:val="center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</w:tr>
      <w:tr w:rsidR="00D21B71" w:rsidRPr="00232F8B" w:rsidTr="00D21B71">
        <w:trPr>
          <w:jc w:val="center"/>
        </w:trPr>
        <w:tc>
          <w:tcPr>
            <w:tcW w:w="534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Сельский дом культуры, д. Тегешево, ул. </w:t>
            </w:r>
            <w:proofErr w:type="gramStart"/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, д. 5</w:t>
            </w:r>
          </w:p>
        </w:tc>
        <w:tc>
          <w:tcPr>
            <w:tcW w:w="635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1961</w:t>
            </w:r>
          </w:p>
        </w:tc>
        <w:tc>
          <w:tcPr>
            <w:tcW w:w="915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474,76</w:t>
            </w:r>
          </w:p>
        </w:tc>
        <w:tc>
          <w:tcPr>
            <w:tcW w:w="1287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401,43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оснащено современными стеклопакетами с повышенным термическим сопротивлением 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B71" w:rsidRPr="00232F8B" w:rsidTr="00D21B71">
        <w:trPr>
          <w:jc w:val="center"/>
        </w:trPr>
        <w:tc>
          <w:tcPr>
            <w:tcW w:w="534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СДК, д. Новое Муратово, ул. </w:t>
            </w:r>
            <w:proofErr w:type="gramStart"/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Кооперативная</w:t>
            </w:r>
            <w:proofErr w:type="gramEnd"/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, д. 7</w:t>
            </w:r>
          </w:p>
        </w:tc>
        <w:tc>
          <w:tcPr>
            <w:tcW w:w="635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915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1287" w:type="dxa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bCs/>
                <w:sz w:val="24"/>
                <w:szCs w:val="24"/>
              </w:rPr>
              <w:t>Не оснащено современными стеклопакетами с повышенным термическим сопротивлением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21B71" w:rsidRPr="00232F8B" w:rsidRDefault="00D21B71" w:rsidP="00D21B7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1B71" w:rsidRPr="00232F8B" w:rsidRDefault="00D21B71" w:rsidP="0082140A">
      <w:pPr>
        <w:pStyle w:val="a1"/>
        <w:widowControl w:val="0"/>
        <w:numPr>
          <w:ilvl w:val="1"/>
          <w:numId w:val="6"/>
        </w:numPr>
        <w:tabs>
          <w:tab w:val="left" w:pos="1476"/>
        </w:tabs>
        <w:autoSpaceDE w:val="0"/>
        <w:autoSpaceDN w:val="0"/>
        <w:spacing w:before="173"/>
        <w:ind w:left="1475" w:hanging="366"/>
        <w:contextualSpacing w:val="0"/>
        <w:rPr>
          <w:i/>
          <w:sz w:val="24"/>
          <w:szCs w:val="24"/>
        </w:rPr>
      </w:pPr>
      <w:bookmarkStart w:id="13" w:name="Таблица_1._Описание_и_анализ_структуры_о"/>
      <w:bookmarkEnd w:id="13"/>
      <w:r w:rsidRPr="00232F8B">
        <w:rPr>
          <w:i/>
          <w:sz w:val="24"/>
          <w:szCs w:val="24"/>
        </w:rPr>
        <w:t>Фактическое потребление энергетических</w:t>
      </w:r>
      <w:r w:rsidRPr="00232F8B">
        <w:rPr>
          <w:i/>
          <w:spacing w:val="-1"/>
          <w:sz w:val="24"/>
          <w:szCs w:val="24"/>
        </w:rPr>
        <w:t xml:space="preserve"> </w:t>
      </w:r>
      <w:r w:rsidRPr="00232F8B">
        <w:rPr>
          <w:i/>
          <w:sz w:val="24"/>
          <w:szCs w:val="24"/>
        </w:rPr>
        <w:t>ресурсов</w:t>
      </w:r>
    </w:p>
    <w:tbl>
      <w:tblPr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977"/>
      </w:tblGrid>
      <w:tr w:rsidR="00D21B71" w:rsidRPr="00232F8B" w:rsidTr="00D21B71">
        <w:trPr>
          <w:cantSplit/>
          <w:tblHeader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Наименование энергоносителя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21B71" w:rsidRPr="00232F8B" w:rsidTr="00D21B71">
        <w:trPr>
          <w:cantSplit/>
          <w:trHeight w:val="407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</w:tr>
      <w:tr w:rsidR="00D21B71" w:rsidRPr="00232F8B" w:rsidTr="00D21B71">
        <w:trPr>
          <w:cantSplit/>
          <w:trHeight w:val="407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B71" w:rsidRPr="00232F8B" w:rsidRDefault="00D21B71" w:rsidP="00D21B71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71" w:rsidRPr="00232F8B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B71" w:rsidRPr="00232F8B" w:rsidRDefault="00D21B71" w:rsidP="0082140A">
      <w:pPr>
        <w:pStyle w:val="a1"/>
        <w:widowControl w:val="0"/>
        <w:numPr>
          <w:ilvl w:val="1"/>
          <w:numId w:val="6"/>
        </w:numPr>
        <w:tabs>
          <w:tab w:val="left" w:pos="1475"/>
        </w:tabs>
        <w:autoSpaceDE w:val="0"/>
        <w:autoSpaceDN w:val="0"/>
        <w:spacing w:before="173"/>
        <w:ind w:left="1475" w:hanging="366"/>
        <w:contextualSpacing w:val="0"/>
        <w:rPr>
          <w:i/>
          <w:sz w:val="24"/>
          <w:szCs w:val="24"/>
        </w:rPr>
      </w:pPr>
      <w:bookmarkStart w:id="14" w:name="5.3_Анализ_оснащенности_приборами_учета"/>
      <w:bookmarkStart w:id="15" w:name="_bookmark10"/>
      <w:bookmarkEnd w:id="14"/>
      <w:bookmarkEnd w:id="15"/>
      <w:r w:rsidRPr="00232F8B">
        <w:rPr>
          <w:i/>
          <w:sz w:val="24"/>
          <w:szCs w:val="24"/>
        </w:rPr>
        <w:t>Оснащенность приборами</w:t>
      </w:r>
      <w:r w:rsidRPr="00232F8B">
        <w:rPr>
          <w:i/>
          <w:spacing w:val="-4"/>
          <w:sz w:val="24"/>
          <w:szCs w:val="24"/>
        </w:rPr>
        <w:t xml:space="preserve"> </w:t>
      </w:r>
      <w:r w:rsidRPr="00232F8B">
        <w:rPr>
          <w:i/>
          <w:sz w:val="24"/>
          <w:szCs w:val="24"/>
        </w:rPr>
        <w:t>учета</w:t>
      </w:r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 xml:space="preserve">На момент разработки программы все имеющиеся приборы учета исправны и </w:t>
      </w:r>
      <w:proofErr w:type="spellStart"/>
      <w:r w:rsidRPr="00232F8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232F8B">
        <w:rPr>
          <w:rFonts w:ascii="Times New Roman" w:hAnsi="Times New Roman"/>
          <w:sz w:val="24"/>
          <w:szCs w:val="24"/>
        </w:rPr>
        <w:t xml:space="preserve">. 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889" w:firstLine="567"/>
        <w:jc w:val="both"/>
        <w:rPr>
          <w:i/>
        </w:rPr>
      </w:pPr>
      <w:bookmarkStart w:id="16" w:name="5.4_Анализ_фактических_показателей_энерг"/>
      <w:bookmarkStart w:id="17" w:name="_bookmark11"/>
      <w:bookmarkStart w:id="18" w:name="5.5_Анализ_проведенных_энергетических_об"/>
      <w:bookmarkStart w:id="19" w:name="_bookmark12"/>
      <w:bookmarkStart w:id="20" w:name="5.6_Анализ_осуществленных_мероприятий_по"/>
      <w:bookmarkStart w:id="21" w:name="_bookmark13"/>
      <w:bookmarkStart w:id="22" w:name="5.7_Оценка_потенциала_энергосбережения"/>
      <w:bookmarkStart w:id="23" w:name="_bookmark14"/>
      <w:bookmarkStart w:id="24" w:name="5.8_Рекомендации_по_системе_информационн"/>
      <w:bookmarkStart w:id="25" w:name="_bookmark15"/>
      <w:bookmarkStart w:id="26" w:name="_Toc5067375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32F8B">
        <w:t xml:space="preserve"> </w:t>
      </w:r>
      <w:r w:rsidRPr="00232F8B">
        <w:rPr>
          <w:i/>
        </w:rPr>
        <w:t>Цели, задачи и срок реализации программы</w:t>
      </w:r>
      <w:bookmarkEnd w:id="26"/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Повышение эффективности потребления энергетических ресурсов в учреждении, предусматривающих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топливно-энергетических ресурсов и воды;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Повышение эффективности использования топливно-энергетических ресурсов за счет реализации оптимальных, апробированных и рекомендованных к использованию энергосберегающих технологий, отвечающих актуальным и перспективным потребностям и снижение энергоемкости.</w:t>
      </w:r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Для достижения поставленных целей необходимо выполнение следующих задач: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lastRenderedPageBreak/>
        <w:t>Первоочередное внедрение мероприятий по энергосбережению с минимальным и средним сроком окупаемости;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proofErr w:type="spellStart"/>
      <w:r w:rsidRPr="00232F8B">
        <w:rPr>
          <w:rFonts w:ascii="Times New Roman" w:hAnsi="Times New Roman"/>
          <w:color w:val="000000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/>
          <w:color w:val="000000"/>
          <w:sz w:val="24"/>
          <w:szCs w:val="24"/>
        </w:rPr>
        <w:t xml:space="preserve"> контрактов на комплексную реализацию мероприятий по энергосбережению;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Снижение удельных величин потребления организацией  топливно-энергетических ресурсов при сохранении устойчивости функционирования учреждения и обеспечении соблюдения санитарно-гигиенических требований;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Сокращение потерь топливно-энергетических ресурсов;</w:t>
      </w:r>
    </w:p>
    <w:p w:rsidR="00D21B71" w:rsidRPr="00232F8B" w:rsidRDefault="00D21B71" w:rsidP="0082140A">
      <w:pPr>
        <w:pStyle w:val="ab"/>
        <w:numPr>
          <w:ilvl w:val="0"/>
          <w:numId w:val="9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Реализация общедоступных типовых  мероприятий, практическое внедрение которых приведет к повышению эффективности использования топливно-энергетических ресурсов.</w:t>
      </w:r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Срок реализации Программы – 2021 - 2023 годы.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-1" w:firstLine="567"/>
        <w:jc w:val="both"/>
        <w:rPr>
          <w:i/>
        </w:rPr>
      </w:pPr>
      <w:r w:rsidRPr="00232F8B">
        <w:rPr>
          <w:i/>
        </w:rPr>
        <w:t>Рекомендации по системе информационного обеспечения в рамках Программы энергосбережения</w:t>
      </w:r>
      <w:r w:rsidRPr="00232F8B">
        <w:rPr>
          <w:i/>
          <w:spacing w:val="-1"/>
        </w:rPr>
        <w:t xml:space="preserve"> </w:t>
      </w:r>
      <w:r w:rsidRPr="00232F8B">
        <w:rPr>
          <w:i/>
        </w:rPr>
        <w:t>Учреждения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Внедрение Системы информационного обеспечения Учреждения в рамках реализации настоящей Программы предусматривает: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определение состава заинтересованных в получении информации лиц;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определение состава и формы предоставления информации;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подготовку необходимой информации;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заинтересованным лицам.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реализации настоящей Программы и несущие ответственность за достижение целевых показателей.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средств, информацию о своей деятельности в области энергосбережения и реализации настоящей Программы Учреждение предоставляет ежеквартально 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информацию о запланированных и фактически осуществленных расходах на деятельность в области энергосбережения;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информацию об обязательствах, возникших в связи с осуществлением деятельности в области энергосбережения;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информацию о контрагентах и исполнении государственных контрактов в области энергосбережения;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информацию о размещении государственных заказов в области энергосбережения, в порядке, установленном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Состав информации, предоставляемой в свободном доступе, включает в себя: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перечень нормативных документов, которыми руководствуется Учреждение в своей деятельности по энергосбережению и повышению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перечень и планируемые значения целевых 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отчеты о выполнении запланированных в отношении подотчетных Учреждению объектов мероприятий в области энергосбережения и повышения энергетической эффективности, и фактически достигнутые величины экономии энергетических ресурсов, полученные от реализации указанных мероприятий.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системе мониторинга на территории Чувашской Республики в области энергосбережения и повышения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Учреждение участвует в части: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подготовки и предоставления информации о фактическом достижении целевых показателей в области энергосбережения, за которые несет ответственность Учреждение;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подготовки и предоставления информации о фактическом выполнении мероприятий в области энергосбережения, за которые несет ответственность Учреждение.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8B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РФ № 261 – ФЗ от 23.11.2009г. информационное обеспечение мероприятий по энергосбережению и повышению энергетической эффективности должно осуществляться посредством: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предоставление ежеквартальной отчетности по программе энергосбережения;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Для повышения информированности, применить информационные плакаты, таблички.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-1" w:firstLine="567"/>
        <w:jc w:val="both"/>
        <w:rPr>
          <w:i/>
        </w:rPr>
      </w:pPr>
      <w:bookmarkStart w:id="27" w:name="5.9_Рекомендации_по_системе_пропаганды_в"/>
      <w:bookmarkStart w:id="28" w:name="_bookmark16"/>
      <w:bookmarkEnd w:id="27"/>
      <w:bookmarkEnd w:id="28"/>
      <w:r w:rsidRPr="00232F8B">
        <w:rPr>
          <w:i/>
        </w:rPr>
        <w:lastRenderedPageBreak/>
        <w:t xml:space="preserve">Рекомендации по системе пропаганды в рамках реализации Программы энергосбережения и повышения </w:t>
      </w:r>
      <w:proofErr w:type="spellStart"/>
      <w:r w:rsidRPr="00232F8B">
        <w:rPr>
          <w:i/>
        </w:rPr>
        <w:t>энергоэффективности</w:t>
      </w:r>
      <w:proofErr w:type="spellEnd"/>
      <w:r w:rsidRPr="00232F8B">
        <w:rPr>
          <w:i/>
        </w:rPr>
        <w:t xml:space="preserve"> Учреждения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Целью пропаганды повышения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и энергосбережения является побуждение субъектов к осуществлению действий, направленных на сбережение энергетических ресурсов и повышение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Предметом воздействия пропаганды в области энергосбережения являются целевые аудитории, формируемые путем классификации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индивидуумов-физических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лиц, исходя из общности наиболее эффективных способов информационного воздействия на них.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Для определения классификационной структуры целевых аудиторий может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Мотивация лиц, входящих в целевые аудитории, может быть основана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рациональной оценке человеком своих собственных действий;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моральном и эмоциональном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человека к своим действиям;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моральном и эмоциональном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человека к оценке своих действий другими людьми, как входящими в целевую группу, так и находящимися вне ее;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моральном и эмоциональном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человека к оценке своего бездействия другими людьми, как входящими в целевую группу, так и находящимися вне ее.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очередь, в числе указанных выгод надо рассматривать экономию личных средств на оплату потребляемых энергетических ресурсов и услуг в этой области.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отношении моральной и эмоциональной мотивации наиболее важным мотивом выступают эмоции, испытываемые людьми по результатам оценки своих действий. Характер указанных эмоций обуславливаются соответствием осуществленных действий системе жизненных ценностей человека.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Наиболее значимыми потребностями в системе жизненных ценностей (с точки зрения мотивации в области энергосбережения), являются: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получение социального признания; </w:t>
      </w:r>
    </w:p>
    <w:p w:rsidR="00FB5BC7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желание сделать что-то хорошее; </w:t>
      </w:r>
    </w:p>
    <w:p w:rsidR="00D21B71" w:rsidRPr="00232F8B" w:rsidRDefault="00D21B71" w:rsidP="00FB5BC7">
      <w:pPr>
        <w:pStyle w:val="af1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стремление принадлежать к определенной социальной группе (быть похожим на людей определенной социальной группы).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основе, рассмотренной выше модели мотивации лежит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для энергосбережения и повышения энергетической эффективности.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отношении влияния на энергосбережение можно выделить два вида наиболее значимых целевых аудиторий: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lastRenderedPageBreak/>
        <w:t xml:space="preserve">- целевые аудитории в производственной сфере;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целевые аудитории в сфере личного потребления энергоресурсов.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производственной сфере наиболее значимыми могут быть признаны следующие целевые аудитории: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руководители, влияющие на стратегию деятельности организации;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лица, влияющие на производственную деятельность организации (менеджеры среднего звена);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работники, непосредственно выполняющие процессы (работы), которые осуществляется с использованием энергетических ресурсов.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сфере личного потребления энергоресурсов наиболее значимыми могут являться следующие целевые аудитории: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члены семьи, осуществляющие оплату потребленных энергетических ресурсов;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пенсионеры, люди с ограниченными возможностями (социально значимые группы населения);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учащиеся начальных, средних и высших учебных заведений;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Рекомендуемая система пропаганды повышения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и энергосбережения опирается на общие положения, изложенные в настоящем разделе, и должна включать в себя: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идентификацию целевых аудиторий для пропаганды;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определение целей пропаганды выбранных целевых аудиторий;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определение способов воздействия на целевые аудитории;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определение коммуникативных целей способов воздействия;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осуществление действий по пропаганде; </w:t>
      </w:r>
    </w:p>
    <w:p w:rsidR="00D21B71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>.</w:t>
      </w:r>
    </w:p>
    <w:p w:rsidR="00FB5BC7" w:rsidRPr="00232F8B" w:rsidRDefault="00FB5BC7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-1" w:firstLine="567"/>
        <w:jc w:val="both"/>
        <w:rPr>
          <w:i/>
        </w:rPr>
      </w:pPr>
      <w:bookmarkStart w:id="29" w:name="5.10_Механизм_привлечения_внебюджетных_и"/>
      <w:bookmarkStart w:id="30" w:name="_bookmark17"/>
      <w:bookmarkEnd w:id="29"/>
      <w:bookmarkEnd w:id="30"/>
      <w:r w:rsidRPr="00232F8B">
        <w:rPr>
          <w:i/>
        </w:rPr>
        <w:t>Механизм привлечения внебюджетных источников финансирования для целей энергосбережения и повышения энергетической</w:t>
      </w:r>
      <w:r w:rsidRPr="00232F8B">
        <w:rPr>
          <w:i/>
          <w:spacing w:val="1"/>
        </w:rPr>
        <w:t xml:space="preserve"> </w:t>
      </w:r>
      <w:r w:rsidRPr="00232F8B">
        <w:rPr>
          <w:i/>
        </w:rPr>
        <w:t>эффективности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компаний и заключения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контрактов. Заключение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контрактов является наиболее актуальным и перспективным на ближайшее время механизмом привлечения внебюджетных источников финансирования.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 представляет собой особую форму договора, направленного на экономию эксплуатационных расходов за счет повышения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lastRenderedPageBreak/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и внедрения технологий, обеспечивающих энергосбережение. Отличительной особенностью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 является то, что затраты инвестора возмещаются за счет достигнутой экономии средств, получаемой в результате внедрения энергосберегающих технологий.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. Инвестиции, необходимые для осуществления такого проекта, как правило, привлекаются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компанией. Согласно Федеральному закону от 23.11.2009 г. № 261-ФЗ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 должен содержать: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условие о величине экономии энергетических ресурсов, которая должна быть обеспечена исполнителем в результате выполнения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условие о сроке действия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контракта, который не должен быть менее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чем срок, необходимый для достижения установленной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энергосервисным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контрактом величины экономии энергетических ресурсов;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иные обязательные условия для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договоров, установленные законодательством РФ.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Механизмы реализации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Комплекс работ по внедрению энергосберегающих мероприятий осуществляется благодаря инвестиционным ресурсам, предоставляемых или привлекаемых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компанией (далее –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). Оплата услуг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по внедрению энергосберегающих мероприятий осуществляется потребителем ТЭР за счет средств, полученных в результате экономии ресурсов. Если же предложенная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схема энергосбережения не помогла изменить ситуацию в организации в лучшую сторону, то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энергосервисная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компания не должна получать оплаты за свои услуги.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К числу возможных финансовых механизмов привлечения инвестиций для заключения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контрактов относятся: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собственные средства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компании;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кредиты, привлекаемые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компанией;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лизинг;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средства инвесторов – физических и юридических лиц.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Формирование плана мероприятий.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энергодекларации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>, а также сведений, содержащихся в Программе энергосбережения.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В случае проведения энергетического обследования Учреждения организацией, не являющейся стороной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контракта, его подписанию, как правило, предшествует экспертиза представленной заказчиком-потребителем ТЭР (Учреждением) документации, проводимая за счет средств потенциального инвестор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участника ЭК.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lastRenderedPageBreak/>
        <w:t xml:space="preserve"> Риски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  контракт   относится к классу долгосрочных контрактов, поэтому в его рамках должны быть: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установлены стороны, которые несут риски не внедрения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проекта, а также доля ответственности сторон по этим рискам;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решены вопросы перехода прав собственности на результаты внедрения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проекта (после окончания всех выплат, предусмотренных по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энергосервисному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контракту в результате внедрения энергосберегающих технологий);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оговорены пути разрешения проблем, связанных с досрочным прекращением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 на всех этапах;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определено право надзора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компании над осуществлением всех стадий реализации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К основным рискам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 относятся: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риск предоставления заказчиком-потребителем ТЭР (Учреждением) недостоверной и/или не полной информации, как на этапе проведения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, так и на этапе эксплуатации внедряемого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риск некачественного и/или недобросовестного выполнения подрядных работ при реализации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риск неквалифицированной эксплуатации заказчиком-потребителем ТЭР (Учреждением) установленного энергосберегающего оборудования;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риск неплатежеспособности заказчика (Учреждения).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Основные проблемы и сложности в реализации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контрактов в России характеризуются: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отсутствием единого подхода к разработке и согласованию методик измерения и/или расчета энергосберегающего эффекта;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неоднозначностью при расчетах собственно энергосберегающего эффекта проекта и отделение рассчитываемого эффекта от влияния внешних факторов;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трудности, возникающие у заказчиков-потребителей ТЭР при заключении многолетних (долгосрочных) контрактов (в бюджетной сфере);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трудности, возникающие у инвесторов (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компаний) при получении доступа к источникам финансирования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 с минимальной кредитной процентной ставкой. При отсутствии значительного эффекта большая часть достигнутой экономии, получаемой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компанией, будет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«уходить» на оплату процентов за выданные кредиты;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отсутствие в РФ надежных финансовых и страховых продуктов, разработанных специально под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контракты;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отсутствие у потенциальных инвесторов (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компаний) инженерно-технических компетенций для оценки рисков на стадии принятия решения о финансирования </w:t>
      </w:r>
      <w:r w:rsidRPr="00232F8B">
        <w:rPr>
          <w:rFonts w:ascii="Times New Roman" w:hAnsi="Times New Roman" w:cs="Times New Roman"/>
          <w:sz w:val="24"/>
          <w:szCs w:val="24"/>
        </w:rPr>
        <w:lastRenderedPageBreak/>
        <w:t>энергосберегающих проектов, отсутствие общепризнанной методологии оценки технических и экономических рисков данных проектов;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отсутствие возможностей у компаний по привлечению долгосрочных займов, в том числе по причинам низкой капитализации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компаний в РФ;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отсутствие у банков законодательных оснований, по которым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 может быть принят банками в виде потенциального залога;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сильный перекос в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контрактах в формулировании жестких рамок деятельности и обязанностей исполнителя контракта (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энергосервисной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компании) в сравнении c заказчиком-потребителем ТЭР;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обвинений их адрес в нецелевом расходе бюджетных средств.6 Методика расчета целевых показателей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Целевые показатели программы энергосбережения рассчитаны по методике расчета целевых показателей, которая утверждена приказом Министерства регионального развития РФ от 7 июня 2010 г. №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-1" w:firstLine="567"/>
        <w:jc w:val="both"/>
        <w:rPr>
          <w:i/>
        </w:rPr>
      </w:pPr>
      <w:r w:rsidRPr="00232F8B">
        <w:rPr>
          <w:i/>
        </w:rPr>
        <w:t>Ресурсное обеспечение программы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Стоимостная оценка предложенных мероприятий и потребность в финансовых ресурсах определена исходя из перечня мероприятий, представленных выше.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иной приносящей доход) деятельности, а также средства из местного бюджета и прочие источники.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-1" w:firstLine="567"/>
        <w:jc w:val="both"/>
        <w:rPr>
          <w:i/>
        </w:rPr>
      </w:pPr>
      <w:bookmarkStart w:id="31" w:name="5.11_Организационные_мероприятия_по_энер"/>
      <w:bookmarkStart w:id="32" w:name="_bookmark18"/>
      <w:bookmarkEnd w:id="31"/>
      <w:bookmarkEnd w:id="32"/>
      <w:r w:rsidRPr="00232F8B">
        <w:rPr>
          <w:i/>
        </w:rPr>
        <w:t>Организационные мероприятия по</w:t>
      </w:r>
      <w:r w:rsidRPr="00232F8B">
        <w:rPr>
          <w:i/>
          <w:spacing w:val="1"/>
        </w:rPr>
        <w:t xml:space="preserve"> </w:t>
      </w:r>
      <w:r w:rsidRPr="00232F8B">
        <w:rPr>
          <w:i/>
        </w:rPr>
        <w:t>энергосбережению: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проведение совещаний о ходе реализации программных мероприятий по энергосбережению (1 раз в квартал);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своевременное проведение обследований и ремонт приборов учета и регулирования, др. оборудования;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своевременная передача данных показаний приборов учета;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правильной эксплуатацией и состоянием оборудования;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осуществление ежедневного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работой электрического освещения, водоснабжения;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недопущение использования электроэнергии на цели, не предусмотренные производственным процессом, а также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выключением из источников питания </w:t>
      </w:r>
      <w:proofErr w:type="spellStart"/>
      <w:r w:rsidRPr="00232F8B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232F8B">
        <w:rPr>
          <w:rFonts w:ascii="Times New Roman" w:hAnsi="Times New Roman" w:cs="Times New Roman"/>
          <w:sz w:val="24"/>
          <w:szCs w:val="24"/>
        </w:rPr>
        <w:t xml:space="preserve"> после использования, что позволит сэкономить до 2,7 % потребления электроэнергии;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- 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2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чистотой осветительного оборудования. Загрязнение, в т.ч. пыль, снижает эффективность освещения на 10-30 %. Реализация данного мероприятия экономит 2 % потребления электроэнергии.</w:t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426" w:right="-1" w:firstLine="567"/>
        <w:jc w:val="both"/>
      </w:pPr>
      <w:r w:rsidRPr="00232F8B">
        <w:t>Затратные технические мероприятия</w:t>
      </w:r>
    </w:p>
    <w:p w:rsidR="00D21B71" w:rsidRPr="00232F8B" w:rsidRDefault="00D21B71" w:rsidP="0082140A">
      <w:pPr>
        <w:pStyle w:val="af1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2F8B">
        <w:rPr>
          <w:rFonts w:ascii="Times New Roman" w:hAnsi="Times New Roman" w:cs="Times New Roman"/>
          <w:sz w:val="24"/>
          <w:szCs w:val="24"/>
          <w:u w:val="single"/>
        </w:rPr>
        <w:t>Замена устаревших осветительных приборов на светодиодные, замена ламп накаливания на энергосберегающие.</w:t>
      </w:r>
      <w:proofErr w:type="gramEnd"/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sz w:val="24"/>
          <w:szCs w:val="24"/>
        </w:rPr>
        <w:t>Установка светодиодных ламп обусловлена их меньшим потреблением электрической энергии и большим сроком службы по сравнению с лампами накаливания и люминесцентными лампами, производящими световой поток аналогичного уровня.</w:t>
      </w:r>
    </w:p>
    <w:p w:rsidR="00D21B71" w:rsidRPr="00232F8B" w:rsidRDefault="00D21B71" w:rsidP="00D21B71">
      <w:pPr>
        <w:pStyle w:val="af1"/>
        <w:spacing w:before="9"/>
        <w:rPr>
          <w:rFonts w:ascii="Times New Roman" w:hAnsi="Times New Roman" w:cs="Times New Roman"/>
          <w:sz w:val="24"/>
          <w:szCs w:val="24"/>
        </w:rPr>
      </w:pPr>
      <w:r w:rsidRPr="00232F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2054225</wp:posOffset>
            </wp:positionH>
            <wp:positionV relativeFrom="paragraph">
              <wp:posOffset>160020</wp:posOffset>
            </wp:positionV>
            <wp:extent cx="4881245" cy="2541270"/>
            <wp:effectExtent l="0" t="0" r="0" b="0"/>
            <wp:wrapTopAndBottom/>
            <wp:docPr id="3" name="image2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71" w:rsidRPr="00232F8B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0" w:right="-1" w:firstLine="0"/>
        <w:jc w:val="both"/>
        <w:rPr>
          <w:i/>
        </w:rPr>
      </w:pPr>
      <w:r w:rsidRPr="00232F8B">
        <w:rPr>
          <w:i/>
        </w:rPr>
        <w:t>Определение потенциала снижения потребления и целевого уровня экономии ресурсов (по каждому виду ресурсов, для каждого здания) на трехлетний период</w:t>
      </w:r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D21B71" w:rsidRPr="00232F8B" w:rsidRDefault="00D21B71" w:rsidP="0082140A">
      <w:pPr>
        <w:pStyle w:val="ab"/>
        <w:numPr>
          <w:ilvl w:val="0"/>
          <w:numId w:val="10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Федерального закона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21B71" w:rsidRPr="00232F8B" w:rsidRDefault="00D21B71" w:rsidP="0082140A">
      <w:pPr>
        <w:pStyle w:val="ab"/>
        <w:numPr>
          <w:ilvl w:val="0"/>
          <w:numId w:val="10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lastRenderedPageBreak/>
        <w:t>Постановления Правительства РФ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21B71" w:rsidRPr="00232F8B" w:rsidRDefault="00D21B71" w:rsidP="0082140A">
      <w:pPr>
        <w:pStyle w:val="ab"/>
        <w:numPr>
          <w:ilvl w:val="0"/>
          <w:numId w:val="10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color w:val="000000"/>
          <w:sz w:val="24"/>
          <w:szCs w:val="24"/>
        </w:rPr>
        <w:t>Приказа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Pr="00232F8B">
        <w:rPr>
          <w:rFonts w:ascii="Times New Roman" w:hAnsi="Times New Roman"/>
          <w:iCs/>
          <w:sz w:val="24"/>
          <w:szCs w:val="24"/>
        </w:rPr>
        <w:t>, осуществляющих регулируемые виды деятельности, и отчетности о ходе их реализации»;</w:t>
      </w:r>
    </w:p>
    <w:p w:rsidR="00D21B71" w:rsidRPr="00232F8B" w:rsidRDefault="00D21B71" w:rsidP="0082140A">
      <w:pPr>
        <w:pStyle w:val="ab"/>
        <w:numPr>
          <w:ilvl w:val="0"/>
          <w:numId w:val="10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iCs/>
          <w:sz w:val="24"/>
          <w:szCs w:val="24"/>
        </w:rPr>
        <w:t xml:space="preserve">Приказа Министерства энергетики РФ от 30 июня 2014 г. № 399 </w:t>
      </w:r>
      <w:r w:rsidRPr="00232F8B">
        <w:rPr>
          <w:rFonts w:ascii="Times New Roman" w:hAnsi="Times New Roman"/>
          <w:color w:val="000000"/>
          <w:sz w:val="24"/>
          <w:szCs w:val="24"/>
        </w:rPr>
        <w:t>«</w:t>
      </w:r>
      <w:r w:rsidRPr="00232F8B">
        <w:rPr>
          <w:rFonts w:ascii="Times New Roman" w:hAnsi="Times New Roman"/>
          <w:iCs/>
          <w:sz w:val="24"/>
          <w:szCs w:val="24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 w:rsidRPr="00232F8B">
        <w:rPr>
          <w:rFonts w:ascii="Times New Roman" w:hAnsi="Times New Roman"/>
          <w:sz w:val="24"/>
          <w:szCs w:val="24"/>
        </w:rPr>
        <w:t>;</w:t>
      </w:r>
    </w:p>
    <w:p w:rsidR="00D21B71" w:rsidRPr="00232F8B" w:rsidRDefault="00D21B71" w:rsidP="0082140A">
      <w:pPr>
        <w:pStyle w:val="ab"/>
        <w:numPr>
          <w:ilvl w:val="0"/>
          <w:numId w:val="10"/>
        </w:numPr>
        <w:tabs>
          <w:tab w:val="clear" w:pos="1572"/>
          <w:tab w:val="left" w:pos="0"/>
        </w:tabs>
        <w:ind w:left="0" w:firstLine="1212"/>
        <w:jc w:val="both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D21B71" w:rsidRPr="00232F8B" w:rsidRDefault="00D21B71" w:rsidP="00D21B71">
      <w:pPr>
        <w:pStyle w:val="ab"/>
        <w:rPr>
          <w:rFonts w:ascii="Times New Roman" w:hAnsi="Times New Roman"/>
          <w:sz w:val="24"/>
          <w:szCs w:val="24"/>
        </w:rPr>
      </w:pPr>
      <w:r w:rsidRPr="00232F8B">
        <w:rPr>
          <w:rFonts w:ascii="Times New Roman" w:hAnsi="Times New Roman"/>
          <w:sz w:val="24"/>
          <w:szCs w:val="24"/>
        </w:rPr>
        <w:t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D21B71" w:rsidRPr="00232F8B" w:rsidRDefault="00D21B71" w:rsidP="00D21B71">
      <w:pPr>
        <w:pStyle w:val="af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8B">
        <w:rPr>
          <w:rFonts w:ascii="Times New Roman" w:hAnsi="Times New Roman" w:cs="Times New Roman"/>
          <w:sz w:val="24"/>
          <w:szCs w:val="24"/>
        </w:rPr>
        <w:t>В программу включены обязательные корректировки в соответствии с установленными целевыми уровнями снижения потребления ресурсов, определенными на основании 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  <w:proofErr w:type="gramEnd"/>
      <w:r w:rsidRPr="00232F8B">
        <w:rPr>
          <w:rFonts w:ascii="Times New Roman" w:hAnsi="Times New Roman" w:cs="Times New Roman"/>
          <w:sz w:val="24"/>
          <w:szCs w:val="24"/>
        </w:rPr>
        <w:t xml:space="preserve"> Рассчитанные целевые уровни приведены в таблице ниже.</w:t>
      </w:r>
    </w:p>
    <w:p w:rsidR="00D21B71" w:rsidRPr="00814284" w:rsidRDefault="00D21B71" w:rsidP="00D21B71">
      <w:pPr>
        <w:pStyle w:val="ab"/>
        <w:rPr>
          <w:szCs w:val="28"/>
        </w:rPr>
        <w:sectPr w:rsidR="00D21B71" w:rsidRPr="00814284" w:rsidSect="00401150">
          <w:headerReference w:type="even" r:id="rId11"/>
          <w:headerReference w:type="default" r:id="rId12"/>
          <w:pgSz w:w="11906" w:h="16838"/>
          <w:pgMar w:top="568" w:right="707" w:bottom="1134" w:left="1560" w:header="708" w:footer="708" w:gutter="0"/>
          <w:cols w:space="708"/>
          <w:titlePg/>
          <w:docGrid w:linePitch="360"/>
        </w:sectPr>
      </w:pPr>
      <w:bookmarkStart w:id="33" w:name="6_Методика_расчета_целевых_показателей"/>
      <w:bookmarkStart w:id="34" w:name="_bookmark19"/>
      <w:bookmarkStart w:id="35" w:name="7_Заключительное_положение"/>
      <w:bookmarkStart w:id="36" w:name="_bookmark20"/>
      <w:bookmarkStart w:id="37" w:name="Карта_проекта_№1(технико-экономическая_о"/>
      <w:bookmarkStart w:id="38" w:name="_bookmark21"/>
      <w:bookmarkEnd w:id="33"/>
      <w:bookmarkEnd w:id="34"/>
      <w:bookmarkEnd w:id="35"/>
      <w:bookmarkEnd w:id="36"/>
      <w:bookmarkEnd w:id="37"/>
      <w:bookmarkEnd w:id="38"/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67"/>
        <w:gridCol w:w="709"/>
        <w:gridCol w:w="567"/>
        <w:gridCol w:w="567"/>
        <w:gridCol w:w="567"/>
        <w:gridCol w:w="1134"/>
        <w:gridCol w:w="1276"/>
        <w:gridCol w:w="850"/>
        <w:gridCol w:w="851"/>
        <w:gridCol w:w="1134"/>
        <w:gridCol w:w="864"/>
        <w:gridCol w:w="864"/>
        <w:gridCol w:w="864"/>
        <w:gridCol w:w="951"/>
        <w:gridCol w:w="735"/>
        <w:gridCol w:w="735"/>
        <w:gridCol w:w="735"/>
        <w:gridCol w:w="914"/>
      </w:tblGrid>
      <w:tr w:rsidR="00D21B71" w:rsidRPr="004949DA" w:rsidTr="00D21B71">
        <w:trPr>
          <w:trHeight w:val="1380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Функциональное назначение здания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Функционально-типологическая группа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Фактический адрес объекта (здания, строения, сооружения)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Тип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Показатели потребления ресурса в базовом (2019) году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Для функционально-типологических групп в соответствии с табл. П1-1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Значение потребления по годам за вычетом экономии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 xml:space="preserve">Индикаторы (площадь или пользователи для расчета </w:t>
            </w:r>
            <w:proofErr w:type="spellStart"/>
            <w:r w:rsidRPr="004949DA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4949DA">
              <w:rPr>
                <w:color w:val="000000"/>
                <w:sz w:val="20"/>
                <w:szCs w:val="20"/>
              </w:rPr>
              <w:t xml:space="preserve"> по годам)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Размер экономии по годам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Сумма экономии за трехлетний период</w:t>
            </w:r>
          </w:p>
        </w:tc>
      </w:tr>
      <w:tr w:rsidR="00D21B71" w:rsidRPr="004949DA" w:rsidTr="00D21B71">
        <w:trPr>
          <w:trHeight w:val="18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строение/корпус</w:t>
            </w: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Целевой уровень экономии ресурсов на трехлетний период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1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21B71" w:rsidRPr="004949DA" w:rsidTr="00D21B71">
        <w:trPr>
          <w:trHeight w:val="315"/>
        </w:trPr>
        <w:tc>
          <w:tcPr>
            <w:tcW w:w="728" w:type="dxa"/>
            <w:vMerge w:val="restart"/>
            <w:shd w:val="clear" w:color="auto" w:fill="auto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 xml:space="preserve">Администрация </w:t>
            </w:r>
            <w:r w:rsidR="00945204">
              <w:rPr>
                <w:sz w:val="20"/>
                <w:szCs w:val="20"/>
              </w:rPr>
              <w:t>Тегешевского</w:t>
            </w:r>
            <w:r w:rsidRPr="004949DA">
              <w:rPr>
                <w:sz w:val="20"/>
                <w:szCs w:val="20"/>
              </w:rPr>
              <w:t xml:space="preserve"> сельского поселения Урмарского района Чува</w:t>
            </w:r>
            <w:r w:rsidRPr="004949DA">
              <w:rPr>
                <w:sz w:val="20"/>
                <w:szCs w:val="20"/>
              </w:rPr>
              <w:lastRenderedPageBreak/>
              <w:t>шской Республики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lastRenderedPageBreak/>
              <w:t>Сельский дом культуры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Клубы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д. Тегешево, ул. Школьная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4949DA">
              <w:rPr>
                <w:color w:val="000000"/>
                <w:sz w:val="20"/>
                <w:szCs w:val="20"/>
              </w:rPr>
              <w:t>кВт×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401,43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кВт*ч/кв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7,68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7,68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7,68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7,68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401,43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6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9DA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4949DA">
              <w:rPr>
                <w:color w:val="000000"/>
                <w:sz w:val="20"/>
                <w:szCs w:val="20"/>
              </w:rPr>
              <w:t>/м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Гкал/кв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Горячая вода (ГВС)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Холодная вода (ХВС)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401,43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/кв.м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Моторное топливо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СДК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Клубы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 xml:space="preserve">д. Новое Муратово, ул. </w:t>
            </w:r>
            <w:proofErr w:type="gramStart"/>
            <w:r w:rsidRPr="004949DA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sz w:val="20"/>
                <w:szCs w:val="20"/>
              </w:rPr>
            </w:pPr>
            <w:r w:rsidRPr="004949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4949DA">
              <w:rPr>
                <w:color w:val="000000"/>
                <w:sz w:val="20"/>
                <w:szCs w:val="20"/>
              </w:rPr>
              <w:t>кВт×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1,03 (28%)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145,70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кВт*ч/кв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145,70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6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9DA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4949DA">
              <w:rPr>
                <w:color w:val="000000"/>
                <w:sz w:val="20"/>
                <w:szCs w:val="20"/>
              </w:rPr>
              <w:t>/м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Гкал/кв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Горячая вода (ГВС)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Холодная вода (ХВС)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145,70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/кв.м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Моторное топливо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тут/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21B71" w:rsidRPr="004949DA" w:rsidTr="00D21B71">
        <w:trPr>
          <w:trHeight w:val="31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lastRenderedPageBreak/>
              <w:t>Суммарный потенциал по учреждению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4949DA">
              <w:rPr>
                <w:color w:val="000000"/>
                <w:sz w:val="20"/>
                <w:szCs w:val="20"/>
              </w:rPr>
              <w:t>кВт×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6,71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6,66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547,13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D21B71" w:rsidRPr="004949DA" w:rsidTr="00D21B71">
        <w:trPr>
          <w:trHeight w:val="315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кВт*ч/кв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15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547,13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15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9DA">
              <w:rPr>
                <w:color w:val="000000"/>
                <w:sz w:val="20"/>
                <w:szCs w:val="20"/>
              </w:rPr>
              <w:t>Втч</w:t>
            </w:r>
            <w:proofErr w:type="spellEnd"/>
            <w:r w:rsidRPr="004949DA">
              <w:rPr>
                <w:color w:val="000000"/>
                <w:sz w:val="20"/>
                <w:szCs w:val="20"/>
              </w:rPr>
              <w:t>/м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Гкал/кв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Горячая вода (ГВС)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Холодная вода (ХВС)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15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547,13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15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4949DA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949DA">
              <w:rPr>
                <w:color w:val="000000"/>
                <w:sz w:val="20"/>
                <w:szCs w:val="20"/>
              </w:rPr>
              <w:t>/кв.м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Моторное топливо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71" w:rsidRPr="004949DA" w:rsidTr="00D21B71">
        <w:trPr>
          <w:trHeight w:val="300"/>
        </w:trPr>
        <w:tc>
          <w:tcPr>
            <w:tcW w:w="3705" w:type="dxa"/>
            <w:gridSpan w:val="6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т/чел.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21B71" w:rsidRPr="004949DA" w:rsidRDefault="00D21B71" w:rsidP="00D21B71">
            <w:pPr>
              <w:jc w:val="center"/>
              <w:rPr>
                <w:color w:val="000000"/>
                <w:sz w:val="20"/>
                <w:szCs w:val="20"/>
              </w:rPr>
            </w:pPr>
            <w:r w:rsidRPr="004949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21B71" w:rsidRPr="00814284" w:rsidRDefault="00D21B71" w:rsidP="00D21B71">
      <w:pPr>
        <w:pStyle w:val="ab"/>
        <w:rPr>
          <w:szCs w:val="28"/>
        </w:rPr>
      </w:pPr>
    </w:p>
    <w:p w:rsidR="00D21B71" w:rsidRPr="00814284" w:rsidRDefault="00D21B71" w:rsidP="00D21B71">
      <w:pPr>
        <w:pStyle w:val="ab"/>
        <w:rPr>
          <w:szCs w:val="28"/>
        </w:rPr>
        <w:sectPr w:rsidR="00D21B71" w:rsidRPr="00814284" w:rsidSect="00D21B71">
          <w:pgSz w:w="16838" w:h="11906" w:orient="landscape"/>
          <w:pgMar w:top="851" w:right="1134" w:bottom="1701" w:left="900" w:header="709" w:footer="709" w:gutter="0"/>
          <w:cols w:space="708"/>
          <w:titlePg/>
          <w:docGrid w:linePitch="360"/>
        </w:sectPr>
      </w:pPr>
    </w:p>
    <w:p w:rsidR="00D21B71" w:rsidRPr="00FB5BC7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0" w:right="555" w:firstLine="0"/>
        <w:jc w:val="both"/>
        <w:rPr>
          <w:i/>
        </w:rPr>
      </w:pPr>
      <w:bookmarkStart w:id="39" w:name="_Toc480962746"/>
      <w:r w:rsidRPr="00FB5BC7">
        <w:rPr>
          <w:i/>
        </w:rPr>
        <w:lastRenderedPageBreak/>
        <w:t xml:space="preserve">График внедрения рекомендуемых </w:t>
      </w:r>
      <w:proofErr w:type="spellStart"/>
      <w:r w:rsidRPr="00FB5BC7">
        <w:rPr>
          <w:i/>
        </w:rPr>
        <w:t>энергоресурсосберегающих</w:t>
      </w:r>
      <w:proofErr w:type="spellEnd"/>
      <w:r w:rsidRPr="00FB5BC7">
        <w:rPr>
          <w:i/>
        </w:rPr>
        <w:t xml:space="preserve"> мероприятий</w:t>
      </w:r>
      <w:bookmarkEnd w:id="39"/>
    </w:p>
    <w:tbl>
      <w:tblPr>
        <w:tblW w:w="10040" w:type="dxa"/>
        <w:tblInd w:w="91" w:type="dxa"/>
        <w:tblLook w:val="04A0" w:firstRow="1" w:lastRow="0" w:firstColumn="1" w:lastColumn="0" w:noHBand="0" w:noVBand="1"/>
      </w:tblPr>
      <w:tblGrid>
        <w:gridCol w:w="594"/>
        <w:gridCol w:w="7361"/>
        <w:gridCol w:w="2085"/>
      </w:tblGrid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Энергоресурсосберегающие</w:t>
            </w:r>
            <w:proofErr w:type="spellEnd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Рекомендуемая дата внедрения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71" w:rsidRPr="00FB5BC7" w:rsidTr="00D21B71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соблюдение </w:t>
            </w: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графика проверки приборов учета энергоресурсов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 воды в учреждении, своевременная профилактика утечек воды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Издать распорядительный документ по подготовке учреждения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Очистка светильников от пыли и отложений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Обеспечение выключения электроприборов от сети при их неиспользовании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Мониторинговые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Анализ годового потребления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Ежемесячный анализ расхода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Работа с сотрудниками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71" w:rsidRPr="00FB5BC7" w:rsidTr="00D21B7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сотрудниками по </w:t>
            </w: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электроэнергии, не допускать не целевого использования электроэнергии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Соблюдать график светового режима в помещениях и на территории учреждения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мотивации сотрудников учреждения на энергосбережение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  <w:tr w:rsidR="00D21B71" w:rsidRPr="00FB5BC7" w:rsidTr="00D21B71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Затратные технические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71" w:rsidRPr="00FB5BC7" w:rsidTr="00D21B71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светодиодные, замена ламп накаливания на энергосберегающие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71" w:rsidRPr="00FB5BC7" w:rsidRDefault="00D21B71" w:rsidP="00D2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</w:tr>
    </w:tbl>
    <w:p w:rsidR="00D21B71" w:rsidRPr="00FB5BC7" w:rsidRDefault="00D21B71" w:rsidP="00D21B71">
      <w:pPr>
        <w:rPr>
          <w:rFonts w:ascii="Times New Roman" w:hAnsi="Times New Roman" w:cs="Times New Roman"/>
          <w:sz w:val="24"/>
          <w:szCs w:val="24"/>
        </w:rPr>
      </w:pPr>
      <w:r w:rsidRPr="00FB5BC7">
        <w:rPr>
          <w:rFonts w:ascii="Times New Roman" w:hAnsi="Times New Roman" w:cs="Times New Roman"/>
          <w:sz w:val="24"/>
          <w:szCs w:val="24"/>
        </w:rPr>
        <w:br w:type="page"/>
      </w:r>
    </w:p>
    <w:p w:rsidR="00D21B71" w:rsidRPr="00FB5BC7" w:rsidRDefault="00D21B71" w:rsidP="0082140A">
      <w:pPr>
        <w:pStyle w:val="111"/>
        <w:numPr>
          <w:ilvl w:val="0"/>
          <w:numId w:val="6"/>
        </w:numPr>
        <w:tabs>
          <w:tab w:val="left" w:pos="1341"/>
        </w:tabs>
        <w:ind w:left="0" w:right="555" w:firstLine="0"/>
        <w:jc w:val="both"/>
        <w:rPr>
          <w:i/>
        </w:rPr>
      </w:pPr>
      <w:r w:rsidRPr="00FB5BC7">
        <w:rPr>
          <w:i/>
        </w:rPr>
        <w:lastRenderedPageBreak/>
        <w:t>Заключительное</w:t>
      </w:r>
      <w:r w:rsidRPr="00FB5BC7">
        <w:rPr>
          <w:i/>
          <w:spacing w:val="1"/>
        </w:rPr>
        <w:t xml:space="preserve"> </w:t>
      </w:r>
      <w:r w:rsidRPr="00FB5BC7">
        <w:rPr>
          <w:i/>
          <w:spacing w:val="2"/>
        </w:rPr>
        <w:t>положение</w:t>
      </w:r>
    </w:p>
    <w:p w:rsidR="00D21B71" w:rsidRPr="00FB5BC7" w:rsidRDefault="00D21B71" w:rsidP="00D21B71">
      <w:pPr>
        <w:pStyle w:val="af1"/>
        <w:spacing w:before="108"/>
        <w:ind w:left="399" w:right="86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5BC7">
        <w:rPr>
          <w:rFonts w:ascii="Times New Roman" w:hAnsi="Times New Roman" w:cs="Times New Roman"/>
          <w:sz w:val="24"/>
          <w:szCs w:val="24"/>
        </w:rPr>
        <w:t>Программа энергосбережения в Учреждении обеспечивает выполнение основных задач по снижению расходов на энергоснабжение зданий за счет рационального использования всех энергетических ресурсов и повышения эффективности их использования:</w:t>
      </w:r>
    </w:p>
    <w:p w:rsidR="00D21B71" w:rsidRPr="00FB5BC7" w:rsidRDefault="00D21B71" w:rsidP="0082140A">
      <w:pPr>
        <w:pStyle w:val="a1"/>
        <w:widowControl w:val="0"/>
        <w:numPr>
          <w:ilvl w:val="0"/>
          <w:numId w:val="4"/>
        </w:numPr>
        <w:tabs>
          <w:tab w:val="left" w:pos="1255"/>
        </w:tabs>
        <w:autoSpaceDE w:val="0"/>
        <w:autoSpaceDN w:val="0"/>
        <w:spacing w:before="3"/>
        <w:ind w:left="1254" w:hanging="145"/>
        <w:contextualSpacing w:val="0"/>
        <w:rPr>
          <w:sz w:val="24"/>
          <w:szCs w:val="24"/>
        </w:rPr>
      </w:pPr>
      <w:r w:rsidRPr="00FB5BC7">
        <w:rPr>
          <w:sz w:val="24"/>
          <w:szCs w:val="24"/>
        </w:rPr>
        <w:t>снижение удельных показателей энергетических</w:t>
      </w:r>
      <w:r w:rsidRPr="00FB5BC7">
        <w:rPr>
          <w:spacing w:val="-2"/>
          <w:sz w:val="24"/>
          <w:szCs w:val="24"/>
        </w:rPr>
        <w:t xml:space="preserve"> </w:t>
      </w:r>
      <w:r w:rsidRPr="00FB5BC7">
        <w:rPr>
          <w:sz w:val="24"/>
          <w:szCs w:val="24"/>
        </w:rPr>
        <w:t>ресурсов;</w:t>
      </w:r>
    </w:p>
    <w:p w:rsidR="00D21B71" w:rsidRPr="00FB5BC7" w:rsidRDefault="00D21B71" w:rsidP="0082140A">
      <w:pPr>
        <w:pStyle w:val="a1"/>
        <w:widowControl w:val="0"/>
        <w:numPr>
          <w:ilvl w:val="0"/>
          <w:numId w:val="4"/>
        </w:numPr>
        <w:tabs>
          <w:tab w:val="left" w:pos="1255"/>
        </w:tabs>
        <w:autoSpaceDE w:val="0"/>
        <w:autoSpaceDN w:val="0"/>
        <w:spacing w:before="41"/>
        <w:ind w:left="1254" w:hanging="145"/>
        <w:contextualSpacing w:val="0"/>
        <w:rPr>
          <w:sz w:val="24"/>
          <w:szCs w:val="24"/>
        </w:rPr>
      </w:pPr>
      <w:r w:rsidRPr="00FB5BC7">
        <w:rPr>
          <w:sz w:val="24"/>
          <w:szCs w:val="24"/>
        </w:rPr>
        <w:t>уменьшение потребления энергии и связанных с этим</w:t>
      </w:r>
      <w:r w:rsidRPr="00FB5BC7">
        <w:rPr>
          <w:spacing w:val="1"/>
          <w:sz w:val="24"/>
          <w:szCs w:val="24"/>
        </w:rPr>
        <w:t xml:space="preserve"> </w:t>
      </w:r>
      <w:r w:rsidRPr="00FB5BC7">
        <w:rPr>
          <w:sz w:val="24"/>
          <w:szCs w:val="24"/>
        </w:rPr>
        <w:t>затрат;</w:t>
      </w:r>
    </w:p>
    <w:p w:rsidR="00D21B71" w:rsidRPr="00FB5BC7" w:rsidRDefault="00D21B71" w:rsidP="0082140A">
      <w:pPr>
        <w:pStyle w:val="a1"/>
        <w:widowControl w:val="0"/>
        <w:numPr>
          <w:ilvl w:val="0"/>
          <w:numId w:val="4"/>
        </w:numPr>
        <w:tabs>
          <w:tab w:val="left" w:pos="1255"/>
        </w:tabs>
        <w:autoSpaceDE w:val="0"/>
        <w:autoSpaceDN w:val="0"/>
        <w:spacing w:before="41"/>
        <w:ind w:left="1254" w:right="839" w:hanging="145"/>
        <w:contextualSpacing w:val="0"/>
        <w:rPr>
          <w:sz w:val="24"/>
          <w:szCs w:val="24"/>
        </w:rPr>
      </w:pPr>
      <w:r w:rsidRPr="00FB5BC7">
        <w:rPr>
          <w:sz w:val="24"/>
          <w:szCs w:val="24"/>
        </w:rPr>
        <w:t xml:space="preserve">совершенствование системы </w:t>
      </w:r>
      <w:r w:rsidRPr="00FB5BC7">
        <w:rPr>
          <w:spacing w:val="-3"/>
          <w:sz w:val="24"/>
          <w:szCs w:val="24"/>
        </w:rPr>
        <w:t xml:space="preserve">учёта </w:t>
      </w:r>
      <w:r w:rsidRPr="00FB5BC7">
        <w:rPr>
          <w:sz w:val="24"/>
          <w:szCs w:val="24"/>
        </w:rPr>
        <w:t>потребляемых энергетических</w:t>
      </w:r>
      <w:r w:rsidRPr="00FB5BC7">
        <w:rPr>
          <w:spacing w:val="-4"/>
          <w:sz w:val="24"/>
          <w:szCs w:val="24"/>
        </w:rPr>
        <w:t xml:space="preserve"> </w:t>
      </w:r>
      <w:r w:rsidRPr="00FB5BC7">
        <w:rPr>
          <w:sz w:val="24"/>
          <w:szCs w:val="24"/>
        </w:rPr>
        <w:t>ресурсов;</w:t>
      </w:r>
    </w:p>
    <w:p w:rsidR="00D21B71" w:rsidRPr="00FB5BC7" w:rsidRDefault="00D21B71" w:rsidP="0082140A">
      <w:pPr>
        <w:pStyle w:val="a1"/>
        <w:widowControl w:val="0"/>
        <w:numPr>
          <w:ilvl w:val="0"/>
          <w:numId w:val="4"/>
        </w:numPr>
        <w:tabs>
          <w:tab w:val="left" w:pos="1317"/>
        </w:tabs>
        <w:autoSpaceDE w:val="0"/>
        <w:autoSpaceDN w:val="0"/>
        <w:spacing w:before="41"/>
        <w:ind w:right="865" w:firstLine="710"/>
        <w:contextualSpacing w:val="0"/>
        <w:rPr>
          <w:sz w:val="24"/>
          <w:szCs w:val="24"/>
        </w:rPr>
      </w:pPr>
      <w:r w:rsidRPr="00FB5BC7">
        <w:rPr>
          <w:sz w:val="24"/>
          <w:szCs w:val="24"/>
        </w:rPr>
        <w:t>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</w:t>
      </w:r>
      <w:r w:rsidRPr="00FB5BC7">
        <w:rPr>
          <w:spacing w:val="5"/>
          <w:sz w:val="24"/>
          <w:szCs w:val="24"/>
        </w:rPr>
        <w:t xml:space="preserve"> </w:t>
      </w:r>
      <w:r w:rsidRPr="00FB5BC7">
        <w:rPr>
          <w:sz w:val="24"/>
          <w:szCs w:val="24"/>
        </w:rPr>
        <w:t>учреждения;</w:t>
      </w:r>
    </w:p>
    <w:p w:rsidR="00D21B71" w:rsidRPr="00FB5BC7" w:rsidRDefault="00D21B71" w:rsidP="0082140A">
      <w:pPr>
        <w:pStyle w:val="a1"/>
        <w:widowControl w:val="0"/>
        <w:numPr>
          <w:ilvl w:val="0"/>
          <w:numId w:val="4"/>
        </w:numPr>
        <w:tabs>
          <w:tab w:val="left" w:pos="1341"/>
        </w:tabs>
        <w:autoSpaceDE w:val="0"/>
        <w:autoSpaceDN w:val="0"/>
        <w:ind w:right="857" w:firstLine="710"/>
        <w:contextualSpacing w:val="0"/>
        <w:rPr>
          <w:sz w:val="24"/>
          <w:szCs w:val="24"/>
        </w:rPr>
      </w:pPr>
      <w:r w:rsidRPr="00FB5BC7">
        <w:rPr>
          <w:sz w:val="24"/>
          <w:szCs w:val="24"/>
        </w:rPr>
        <w:t>разработка мероприятий, обеспечивающих устойчивое снижение потребления энергетических</w:t>
      </w:r>
      <w:r w:rsidRPr="00FB5BC7">
        <w:rPr>
          <w:spacing w:val="-4"/>
          <w:sz w:val="24"/>
          <w:szCs w:val="24"/>
        </w:rPr>
        <w:t xml:space="preserve"> </w:t>
      </w:r>
      <w:r w:rsidRPr="00FB5BC7">
        <w:rPr>
          <w:sz w:val="24"/>
          <w:szCs w:val="24"/>
        </w:rPr>
        <w:t>ресурсов.</w:t>
      </w:r>
    </w:p>
    <w:p w:rsidR="00D21B71" w:rsidRPr="00FB5BC7" w:rsidRDefault="00D21B71" w:rsidP="00FB5BC7">
      <w:pPr>
        <w:pStyle w:val="a1"/>
        <w:numPr>
          <w:ilvl w:val="0"/>
          <w:numId w:val="0"/>
        </w:numPr>
        <w:shd w:val="clear" w:color="auto" w:fill="FFFFFF"/>
        <w:tabs>
          <w:tab w:val="left" w:pos="9781"/>
        </w:tabs>
        <w:ind w:right="839"/>
        <w:rPr>
          <w:sz w:val="24"/>
          <w:szCs w:val="24"/>
        </w:rPr>
      </w:pPr>
    </w:p>
    <w:p w:rsidR="00D21B71" w:rsidRPr="00302A54" w:rsidRDefault="00D21B71" w:rsidP="00302A54">
      <w:pPr>
        <w:shd w:val="clear" w:color="auto" w:fill="FFFFFF"/>
        <w:tabs>
          <w:tab w:val="left" w:pos="9781"/>
        </w:tabs>
        <w:ind w:left="141" w:right="839"/>
        <w:rPr>
          <w:rFonts w:ascii="Times New Roman" w:hAnsi="Times New Roman" w:cs="Times New Roman"/>
          <w:sz w:val="24"/>
          <w:szCs w:val="24"/>
        </w:rPr>
      </w:pPr>
      <w:r w:rsidRPr="00302A54">
        <w:rPr>
          <w:rFonts w:ascii="Times New Roman" w:hAnsi="Times New Roman" w:cs="Times New Roman"/>
          <w:sz w:val="24"/>
          <w:szCs w:val="24"/>
        </w:rPr>
        <w:t>Риски при выполнении мероприятий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552"/>
        <w:gridCol w:w="4820"/>
        <w:gridCol w:w="1842"/>
      </w:tblGrid>
      <w:tr w:rsidR="00D21B71" w:rsidRPr="00FB5BC7" w:rsidTr="00D21B71">
        <w:trPr>
          <w:trHeight w:hRule="exact" w:val="35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keepNext/>
              <w:keepLines/>
              <w:ind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21B71" w:rsidRPr="00FB5BC7" w:rsidRDefault="00D21B71" w:rsidP="00D21B71">
            <w:pPr>
              <w:keepNext/>
              <w:keepLines/>
              <w:ind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B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B71" w:rsidRPr="00FB5BC7" w:rsidRDefault="00D21B71" w:rsidP="00D21B71">
            <w:pPr>
              <w:keepNext/>
              <w:keepLines/>
              <w:ind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B71" w:rsidRPr="00FB5BC7" w:rsidRDefault="00D21B71" w:rsidP="00D21B71">
            <w:pPr>
              <w:keepNext/>
              <w:keepLines/>
              <w:ind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управлению рисками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B71" w:rsidRPr="00FB5BC7" w:rsidRDefault="00D21B71" w:rsidP="00D21B71">
            <w:pPr>
              <w:keepNext/>
              <w:keepLines/>
              <w:ind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D21B71" w:rsidRPr="00FB5BC7" w:rsidTr="00D21B71">
        <w:trPr>
          <w:trHeight w:hRule="exact" w:val="146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Срыв сроков поставок материалов и оборудования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Период реализации программы</w:t>
            </w:r>
          </w:p>
        </w:tc>
      </w:tr>
      <w:tr w:rsidR="00D21B71" w:rsidRPr="00FB5BC7" w:rsidTr="00D21B71">
        <w:trPr>
          <w:trHeight w:hRule="exact" w:val="169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Неудовлетворяющее конечной цели проекта качество материалов и оборудования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Технический анализ закупаемой продукции, входной контроль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B71" w:rsidRPr="00FB5BC7" w:rsidRDefault="00D21B71" w:rsidP="00D21B71">
            <w:pPr>
              <w:pStyle w:val="Default"/>
            </w:pPr>
            <w:r w:rsidRPr="00FB5BC7">
              <w:t>Период реализации программы</w:t>
            </w:r>
          </w:p>
        </w:tc>
      </w:tr>
    </w:tbl>
    <w:p w:rsidR="00D21B71" w:rsidRPr="00FB5BC7" w:rsidRDefault="00D21B71" w:rsidP="00FB5BC7">
      <w:pPr>
        <w:tabs>
          <w:tab w:val="left" w:pos="1341"/>
        </w:tabs>
        <w:ind w:right="857" w:firstLine="709"/>
        <w:rPr>
          <w:sz w:val="24"/>
          <w:szCs w:val="24"/>
        </w:rPr>
      </w:pPr>
    </w:p>
    <w:p w:rsidR="00E57BCB" w:rsidRPr="00FB5BC7" w:rsidRDefault="00E57BCB" w:rsidP="00D21B71">
      <w:pPr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sectPr w:rsidR="00E57BCB" w:rsidRPr="00FB5BC7" w:rsidSect="00895EE4">
      <w:footerReference w:type="default" r:id="rId13"/>
      <w:pgSz w:w="11906" w:h="16838"/>
      <w:pgMar w:top="284" w:right="707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5D" w:rsidRDefault="0039785D" w:rsidP="00437CA9">
      <w:pPr>
        <w:spacing w:after="0" w:line="240" w:lineRule="auto"/>
      </w:pPr>
      <w:r>
        <w:separator/>
      </w:r>
    </w:p>
  </w:endnote>
  <w:endnote w:type="continuationSeparator" w:id="0">
    <w:p w:rsidR="0039785D" w:rsidRDefault="0039785D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71" w:rsidRDefault="006469E6" w:rsidP="00BB4936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FF7ECD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5D" w:rsidRDefault="0039785D" w:rsidP="00437CA9">
      <w:pPr>
        <w:spacing w:after="0" w:line="240" w:lineRule="auto"/>
      </w:pPr>
      <w:r>
        <w:separator/>
      </w:r>
    </w:p>
  </w:footnote>
  <w:footnote w:type="continuationSeparator" w:id="0">
    <w:p w:rsidR="0039785D" w:rsidRDefault="0039785D" w:rsidP="0043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71" w:rsidRDefault="00D21B71" w:rsidP="00D21B71">
    <w:pPr>
      <w:pStyle w:val="afc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D21B71" w:rsidRDefault="00D21B71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71" w:rsidRDefault="00D21B7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F54773"/>
    <w:multiLevelType w:val="hybridMultilevel"/>
    <w:tmpl w:val="9F8AE876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>
    <w:nsid w:val="1DEA4F52"/>
    <w:multiLevelType w:val="hybridMultilevel"/>
    <w:tmpl w:val="B87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FBE"/>
    <w:multiLevelType w:val="hybridMultilevel"/>
    <w:tmpl w:val="6DD29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312E"/>
    <w:multiLevelType w:val="hybridMultilevel"/>
    <w:tmpl w:val="EAC2D41A"/>
    <w:lvl w:ilvl="0" w:tplc="041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6">
    <w:nsid w:val="34BA7839"/>
    <w:multiLevelType w:val="hybridMultilevel"/>
    <w:tmpl w:val="0FEE64D0"/>
    <w:lvl w:ilvl="0" w:tplc="A2D8C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B04B3"/>
    <w:multiLevelType w:val="hybridMultilevel"/>
    <w:tmpl w:val="F3E072B0"/>
    <w:lvl w:ilvl="0" w:tplc="041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8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-568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B26119"/>
    <w:multiLevelType w:val="hybridMultilevel"/>
    <w:tmpl w:val="A5623FA4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>
    <w:nsid w:val="73292AD4"/>
    <w:multiLevelType w:val="hybridMultilevel"/>
    <w:tmpl w:val="8F10CCFE"/>
    <w:lvl w:ilvl="0" w:tplc="BE100E94">
      <w:numFmt w:val="bullet"/>
      <w:lvlText w:val="-"/>
      <w:lvlJc w:val="left"/>
      <w:pPr>
        <w:ind w:left="3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C258C2">
      <w:numFmt w:val="bullet"/>
      <w:lvlText w:val="•"/>
      <w:lvlJc w:val="left"/>
      <w:pPr>
        <w:ind w:left="1421" w:hanging="154"/>
      </w:pPr>
      <w:rPr>
        <w:rFonts w:hint="default"/>
        <w:lang w:val="ru-RU" w:eastAsia="ru-RU" w:bidi="ru-RU"/>
      </w:rPr>
    </w:lvl>
    <w:lvl w:ilvl="2" w:tplc="9314DD54">
      <w:numFmt w:val="bullet"/>
      <w:lvlText w:val="•"/>
      <w:lvlJc w:val="left"/>
      <w:pPr>
        <w:ind w:left="2443" w:hanging="154"/>
      </w:pPr>
      <w:rPr>
        <w:rFonts w:hint="default"/>
        <w:lang w:val="ru-RU" w:eastAsia="ru-RU" w:bidi="ru-RU"/>
      </w:rPr>
    </w:lvl>
    <w:lvl w:ilvl="3" w:tplc="59F6CC24">
      <w:numFmt w:val="bullet"/>
      <w:lvlText w:val="•"/>
      <w:lvlJc w:val="left"/>
      <w:pPr>
        <w:ind w:left="3465" w:hanging="154"/>
      </w:pPr>
      <w:rPr>
        <w:rFonts w:hint="default"/>
        <w:lang w:val="ru-RU" w:eastAsia="ru-RU" w:bidi="ru-RU"/>
      </w:rPr>
    </w:lvl>
    <w:lvl w:ilvl="4" w:tplc="1FD0CBD8">
      <w:numFmt w:val="bullet"/>
      <w:lvlText w:val="•"/>
      <w:lvlJc w:val="left"/>
      <w:pPr>
        <w:ind w:left="4487" w:hanging="154"/>
      </w:pPr>
      <w:rPr>
        <w:rFonts w:hint="default"/>
        <w:lang w:val="ru-RU" w:eastAsia="ru-RU" w:bidi="ru-RU"/>
      </w:rPr>
    </w:lvl>
    <w:lvl w:ilvl="5" w:tplc="CE66B3C2">
      <w:numFmt w:val="bullet"/>
      <w:lvlText w:val="•"/>
      <w:lvlJc w:val="left"/>
      <w:pPr>
        <w:ind w:left="5509" w:hanging="154"/>
      </w:pPr>
      <w:rPr>
        <w:rFonts w:hint="default"/>
        <w:lang w:val="ru-RU" w:eastAsia="ru-RU" w:bidi="ru-RU"/>
      </w:rPr>
    </w:lvl>
    <w:lvl w:ilvl="6" w:tplc="B0567196">
      <w:numFmt w:val="bullet"/>
      <w:lvlText w:val="•"/>
      <w:lvlJc w:val="left"/>
      <w:pPr>
        <w:ind w:left="6531" w:hanging="154"/>
      </w:pPr>
      <w:rPr>
        <w:rFonts w:hint="default"/>
        <w:lang w:val="ru-RU" w:eastAsia="ru-RU" w:bidi="ru-RU"/>
      </w:rPr>
    </w:lvl>
    <w:lvl w:ilvl="7" w:tplc="2C20445E">
      <w:numFmt w:val="bullet"/>
      <w:lvlText w:val="•"/>
      <w:lvlJc w:val="left"/>
      <w:pPr>
        <w:ind w:left="7552" w:hanging="154"/>
      </w:pPr>
      <w:rPr>
        <w:rFonts w:hint="default"/>
        <w:lang w:val="ru-RU" w:eastAsia="ru-RU" w:bidi="ru-RU"/>
      </w:rPr>
    </w:lvl>
    <w:lvl w:ilvl="8" w:tplc="4E44027A">
      <w:numFmt w:val="bullet"/>
      <w:lvlText w:val="•"/>
      <w:lvlJc w:val="left"/>
      <w:pPr>
        <w:ind w:left="8574" w:hanging="15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6371"/>
    <w:rsid w:val="00017A50"/>
    <w:rsid w:val="00040580"/>
    <w:rsid w:val="00056D1E"/>
    <w:rsid w:val="000633C8"/>
    <w:rsid w:val="00076F51"/>
    <w:rsid w:val="00080599"/>
    <w:rsid w:val="000817DE"/>
    <w:rsid w:val="00084D33"/>
    <w:rsid w:val="00096ACE"/>
    <w:rsid w:val="000A499D"/>
    <w:rsid w:val="000A697A"/>
    <w:rsid w:val="000C05F9"/>
    <w:rsid w:val="000D76E1"/>
    <w:rsid w:val="000E02CD"/>
    <w:rsid w:val="000E19AE"/>
    <w:rsid w:val="000E292E"/>
    <w:rsid w:val="000E7893"/>
    <w:rsid w:val="000F0112"/>
    <w:rsid w:val="000F05D7"/>
    <w:rsid w:val="000F62B7"/>
    <w:rsid w:val="0010280F"/>
    <w:rsid w:val="0011446F"/>
    <w:rsid w:val="00116293"/>
    <w:rsid w:val="00117965"/>
    <w:rsid w:val="00120C63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5F4"/>
    <w:rsid w:val="001C2B19"/>
    <w:rsid w:val="001C5EDB"/>
    <w:rsid w:val="001D3C0E"/>
    <w:rsid w:val="001D4C01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2F8B"/>
    <w:rsid w:val="00235AB8"/>
    <w:rsid w:val="002371C0"/>
    <w:rsid w:val="00241F4C"/>
    <w:rsid w:val="00254755"/>
    <w:rsid w:val="00254B12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02A54"/>
    <w:rsid w:val="00307840"/>
    <w:rsid w:val="00340083"/>
    <w:rsid w:val="003477FE"/>
    <w:rsid w:val="00356F87"/>
    <w:rsid w:val="00362423"/>
    <w:rsid w:val="00366A8A"/>
    <w:rsid w:val="00373D78"/>
    <w:rsid w:val="003747B8"/>
    <w:rsid w:val="00384193"/>
    <w:rsid w:val="0039255E"/>
    <w:rsid w:val="003948C7"/>
    <w:rsid w:val="0039785D"/>
    <w:rsid w:val="003A1172"/>
    <w:rsid w:val="003D1981"/>
    <w:rsid w:val="003E0FB6"/>
    <w:rsid w:val="003E18B8"/>
    <w:rsid w:val="003E4814"/>
    <w:rsid w:val="003F5D58"/>
    <w:rsid w:val="003F6FC1"/>
    <w:rsid w:val="003F7087"/>
    <w:rsid w:val="00400767"/>
    <w:rsid w:val="00401150"/>
    <w:rsid w:val="00401688"/>
    <w:rsid w:val="00424DF3"/>
    <w:rsid w:val="00432983"/>
    <w:rsid w:val="00436675"/>
    <w:rsid w:val="00437CA9"/>
    <w:rsid w:val="00444508"/>
    <w:rsid w:val="0045200F"/>
    <w:rsid w:val="0045645D"/>
    <w:rsid w:val="004A22C4"/>
    <w:rsid w:val="004B6129"/>
    <w:rsid w:val="004E4689"/>
    <w:rsid w:val="005038CE"/>
    <w:rsid w:val="0051579E"/>
    <w:rsid w:val="00534B97"/>
    <w:rsid w:val="00543741"/>
    <w:rsid w:val="0055453B"/>
    <w:rsid w:val="005624DB"/>
    <w:rsid w:val="00573756"/>
    <w:rsid w:val="0058447D"/>
    <w:rsid w:val="005874F7"/>
    <w:rsid w:val="00587F7C"/>
    <w:rsid w:val="00595573"/>
    <w:rsid w:val="005A21B2"/>
    <w:rsid w:val="005C5BD5"/>
    <w:rsid w:val="005E39A0"/>
    <w:rsid w:val="005E5B7A"/>
    <w:rsid w:val="005E63D9"/>
    <w:rsid w:val="005E650A"/>
    <w:rsid w:val="005E67B9"/>
    <w:rsid w:val="005F0797"/>
    <w:rsid w:val="005F087A"/>
    <w:rsid w:val="005F2A35"/>
    <w:rsid w:val="0061035C"/>
    <w:rsid w:val="00635006"/>
    <w:rsid w:val="006469E6"/>
    <w:rsid w:val="00650268"/>
    <w:rsid w:val="00697350"/>
    <w:rsid w:val="006A16BB"/>
    <w:rsid w:val="006B0FA3"/>
    <w:rsid w:val="006B6DB2"/>
    <w:rsid w:val="006D7039"/>
    <w:rsid w:val="006D7052"/>
    <w:rsid w:val="006F1FB6"/>
    <w:rsid w:val="00713792"/>
    <w:rsid w:val="007167F9"/>
    <w:rsid w:val="00720D5D"/>
    <w:rsid w:val="00732A0C"/>
    <w:rsid w:val="007349AF"/>
    <w:rsid w:val="00735597"/>
    <w:rsid w:val="00736291"/>
    <w:rsid w:val="00740D2C"/>
    <w:rsid w:val="00753B9C"/>
    <w:rsid w:val="00762B6A"/>
    <w:rsid w:val="00776DE0"/>
    <w:rsid w:val="007773E1"/>
    <w:rsid w:val="007853D0"/>
    <w:rsid w:val="00794F4C"/>
    <w:rsid w:val="007950DC"/>
    <w:rsid w:val="00795246"/>
    <w:rsid w:val="007962FF"/>
    <w:rsid w:val="00797CE9"/>
    <w:rsid w:val="007D0671"/>
    <w:rsid w:val="007D4C09"/>
    <w:rsid w:val="007D77C6"/>
    <w:rsid w:val="007E60AB"/>
    <w:rsid w:val="007E7C74"/>
    <w:rsid w:val="0082140A"/>
    <w:rsid w:val="00834EF4"/>
    <w:rsid w:val="00835A36"/>
    <w:rsid w:val="0083626A"/>
    <w:rsid w:val="008376F2"/>
    <w:rsid w:val="008462C8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95EE4"/>
    <w:rsid w:val="008A0C1E"/>
    <w:rsid w:val="008B2572"/>
    <w:rsid w:val="008C047D"/>
    <w:rsid w:val="008D787A"/>
    <w:rsid w:val="008E4A96"/>
    <w:rsid w:val="008E526B"/>
    <w:rsid w:val="008F7BEA"/>
    <w:rsid w:val="00920140"/>
    <w:rsid w:val="0092174B"/>
    <w:rsid w:val="00924FC0"/>
    <w:rsid w:val="00931D32"/>
    <w:rsid w:val="0093433B"/>
    <w:rsid w:val="00934DA8"/>
    <w:rsid w:val="00936160"/>
    <w:rsid w:val="00944FD2"/>
    <w:rsid w:val="00945204"/>
    <w:rsid w:val="009461D2"/>
    <w:rsid w:val="009478B1"/>
    <w:rsid w:val="00964D97"/>
    <w:rsid w:val="00971E3C"/>
    <w:rsid w:val="00982B92"/>
    <w:rsid w:val="009B0164"/>
    <w:rsid w:val="009B044E"/>
    <w:rsid w:val="009B595C"/>
    <w:rsid w:val="009C57D0"/>
    <w:rsid w:val="009F3332"/>
    <w:rsid w:val="00A165C8"/>
    <w:rsid w:val="00A25769"/>
    <w:rsid w:val="00A42245"/>
    <w:rsid w:val="00A513C6"/>
    <w:rsid w:val="00A626EC"/>
    <w:rsid w:val="00A672DA"/>
    <w:rsid w:val="00A7179A"/>
    <w:rsid w:val="00A71F2A"/>
    <w:rsid w:val="00A73A55"/>
    <w:rsid w:val="00A770A0"/>
    <w:rsid w:val="00A96F21"/>
    <w:rsid w:val="00AA311D"/>
    <w:rsid w:val="00AA537F"/>
    <w:rsid w:val="00AA5B8A"/>
    <w:rsid w:val="00AC5145"/>
    <w:rsid w:val="00AC75D6"/>
    <w:rsid w:val="00AC7E82"/>
    <w:rsid w:val="00AD112A"/>
    <w:rsid w:val="00AD2949"/>
    <w:rsid w:val="00AD659F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66AA0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21DD8"/>
    <w:rsid w:val="00C334A5"/>
    <w:rsid w:val="00C3378F"/>
    <w:rsid w:val="00C344C5"/>
    <w:rsid w:val="00C355C9"/>
    <w:rsid w:val="00C3561A"/>
    <w:rsid w:val="00C465BF"/>
    <w:rsid w:val="00C67740"/>
    <w:rsid w:val="00C74F44"/>
    <w:rsid w:val="00C80497"/>
    <w:rsid w:val="00C81CBC"/>
    <w:rsid w:val="00C83332"/>
    <w:rsid w:val="00CA5D98"/>
    <w:rsid w:val="00CC5AE4"/>
    <w:rsid w:val="00CD7804"/>
    <w:rsid w:val="00CE5C77"/>
    <w:rsid w:val="00D125D3"/>
    <w:rsid w:val="00D13F8F"/>
    <w:rsid w:val="00D21B71"/>
    <w:rsid w:val="00D30817"/>
    <w:rsid w:val="00D35B22"/>
    <w:rsid w:val="00D35CC7"/>
    <w:rsid w:val="00D404BC"/>
    <w:rsid w:val="00D427CC"/>
    <w:rsid w:val="00D44EA0"/>
    <w:rsid w:val="00D62D63"/>
    <w:rsid w:val="00D63469"/>
    <w:rsid w:val="00D645C9"/>
    <w:rsid w:val="00D85452"/>
    <w:rsid w:val="00D94DA8"/>
    <w:rsid w:val="00DB6778"/>
    <w:rsid w:val="00DB71E2"/>
    <w:rsid w:val="00DD2B69"/>
    <w:rsid w:val="00DD7A99"/>
    <w:rsid w:val="00DE1F53"/>
    <w:rsid w:val="00E12876"/>
    <w:rsid w:val="00E1376D"/>
    <w:rsid w:val="00E16716"/>
    <w:rsid w:val="00E32810"/>
    <w:rsid w:val="00E32E63"/>
    <w:rsid w:val="00E34C94"/>
    <w:rsid w:val="00E45D86"/>
    <w:rsid w:val="00E476B9"/>
    <w:rsid w:val="00E57BCB"/>
    <w:rsid w:val="00E61C8E"/>
    <w:rsid w:val="00E620A4"/>
    <w:rsid w:val="00E77A9C"/>
    <w:rsid w:val="00E94A31"/>
    <w:rsid w:val="00E97BC3"/>
    <w:rsid w:val="00EB4AD9"/>
    <w:rsid w:val="00EB7D13"/>
    <w:rsid w:val="00EC10A0"/>
    <w:rsid w:val="00EC468D"/>
    <w:rsid w:val="00ED5713"/>
    <w:rsid w:val="00ED74F4"/>
    <w:rsid w:val="00EE65A2"/>
    <w:rsid w:val="00F01890"/>
    <w:rsid w:val="00F03771"/>
    <w:rsid w:val="00F0700A"/>
    <w:rsid w:val="00F12EB0"/>
    <w:rsid w:val="00F145E5"/>
    <w:rsid w:val="00F14809"/>
    <w:rsid w:val="00F1760D"/>
    <w:rsid w:val="00F22FCB"/>
    <w:rsid w:val="00F2424F"/>
    <w:rsid w:val="00F3444F"/>
    <w:rsid w:val="00F34F27"/>
    <w:rsid w:val="00F36BF3"/>
    <w:rsid w:val="00F4075B"/>
    <w:rsid w:val="00F443F5"/>
    <w:rsid w:val="00F53302"/>
    <w:rsid w:val="00F5452B"/>
    <w:rsid w:val="00F54B84"/>
    <w:rsid w:val="00F56E45"/>
    <w:rsid w:val="00F73EEC"/>
    <w:rsid w:val="00F85E1F"/>
    <w:rsid w:val="00F8708B"/>
    <w:rsid w:val="00FA2E10"/>
    <w:rsid w:val="00FB5BC7"/>
    <w:rsid w:val="00FB7AE0"/>
    <w:rsid w:val="00FC47C6"/>
    <w:rsid w:val="00FD243B"/>
    <w:rsid w:val="00FD7FC1"/>
    <w:rsid w:val="00FE1A2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D21B71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2"/>
    <w:next w:val="a2"/>
    <w:link w:val="40"/>
    <w:uiPriority w:val="9"/>
    <w:unhideWhenUsed/>
    <w:qFormat/>
    <w:rsid w:val="00D21B7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D21B7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D21B71"/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1DD8"/>
    <w:rPr>
      <w:rFonts w:ascii="Arial" w:eastAsia="Times New Roman" w:hAnsi="Arial" w:cs="Arial"/>
      <w:sz w:val="20"/>
      <w:szCs w:val="20"/>
    </w:rPr>
  </w:style>
  <w:style w:type="paragraph" w:styleId="ab">
    <w:name w:val="Plain Text"/>
    <w:aliases w:val="Знак7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Знак7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iPriority w:val="1"/>
    <w:unhideWhenUsed/>
    <w:qFormat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uiPriority w:val="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aliases w:val="Подпись рисунка,Маркер,Ненумерованный список,List Paragraph,AC List 01,Абзац списка11"/>
    <w:basedOn w:val="a2"/>
    <w:link w:val="af6"/>
    <w:uiPriority w:val="1"/>
    <w:qFormat/>
    <w:rsid w:val="00437CA9"/>
    <w:pPr>
      <w:numPr>
        <w:ilvl w:val="1"/>
        <w:numId w:val="1"/>
      </w:numPr>
      <w:spacing w:after="0" w:line="240" w:lineRule="auto"/>
      <w:ind w:left="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1"/>
    <w:uiPriority w:val="1"/>
    <w:locked/>
    <w:rsid w:val="00D21B71"/>
    <w:rPr>
      <w:rFonts w:ascii="Times New Roman" w:eastAsia="Calibri" w:hAnsi="Times New Roman" w:cs="Times New Roman"/>
      <w:sz w:val="28"/>
      <w:lang w:eastAsia="en-US"/>
    </w:rPr>
  </w:style>
  <w:style w:type="paragraph" w:styleId="af7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8">
    <w:name w:val="Table Grid"/>
    <w:basedOn w:val="a4"/>
    <w:uiPriority w:val="59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2"/>
    <w:link w:val="afa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437CA9"/>
    <w:rPr>
      <w:vertAlign w:val="superscript"/>
    </w:rPr>
  </w:style>
  <w:style w:type="paragraph" w:styleId="afc">
    <w:name w:val="header"/>
    <w:basedOn w:val="a2"/>
    <w:link w:val="afd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d">
    <w:name w:val="Верхний колонтитул Знак"/>
    <w:basedOn w:val="a3"/>
    <w:link w:val="afc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e">
    <w:name w:val="footer"/>
    <w:basedOn w:val="a2"/>
    <w:link w:val="aff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">
    <w:name w:val="Нижний колонтитул Знак"/>
    <w:basedOn w:val="a3"/>
    <w:link w:val="afe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1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1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Balloon Text"/>
    <w:basedOn w:val="a2"/>
    <w:link w:val="aff3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4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37CA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3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  <w:style w:type="paragraph" w:customStyle="1" w:styleId="110">
    <w:name w:val="Оглавление 11"/>
    <w:basedOn w:val="a2"/>
    <w:uiPriority w:val="1"/>
    <w:qFormat/>
    <w:rsid w:val="00D21B71"/>
    <w:pPr>
      <w:widowControl w:val="0"/>
      <w:autoSpaceDE w:val="0"/>
      <w:autoSpaceDN w:val="0"/>
      <w:spacing w:before="140" w:after="0" w:line="240" w:lineRule="auto"/>
      <w:ind w:left="1278" w:hanging="169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Оглавление 21"/>
    <w:basedOn w:val="a2"/>
    <w:uiPriority w:val="1"/>
    <w:qFormat/>
    <w:rsid w:val="00D21B71"/>
    <w:pPr>
      <w:widowControl w:val="0"/>
      <w:autoSpaceDE w:val="0"/>
      <w:autoSpaceDN w:val="0"/>
      <w:spacing w:before="139" w:after="0" w:line="240" w:lineRule="auto"/>
      <w:ind w:left="1446" w:hanging="337"/>
    </w:pPr>
    <w:rPr>
      <w:rFonts w:ascii="Times New Roman" w:eastAsia="Times New Roman" w:hAnsi="Times New Roman" w:cs="Times New Roman"/>
      <w:i/>
      <w:lang w:bidi="ru-RU"/>
    </w:rPr>
  </w:style>
  <w:style w:type="paragraph" w:customStyle="1" w:styleId="111">
    <w:name w:val="Заголовок 11"/>
    <w:basedOn w:val="a2"/>
    <w:uiPriority w:val="1"/>
    <w:qFormat/>
    <w:rsid w:val="00D21B71"/>
    <w:pPr>
      <w:widowControl w:val="0"/>
      <w:autoSpaceDE w:val="0"/>
      <w:autoSpaceDN w:val="0"/>
      <w:spacing w:before="72"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2"/>
    <w:uiPriority w:val="1"/>
    <w:qFormat/>
    <w:rsid w:val="00D21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2">
    <w:name w:val="Абзац списка1"/>
    <w:basedOn w:val="a2"/>
    <w:rsid w:val="00D21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ff9">
    <w:name w:val="Block Text"/>
    <w:basedOn w:val="a2"/>
    <w:uiPriority w:val="99"/>
    <w:unhideWhenUsed/>
    <w:rsid w:val="00D21B71"/>
    <w:pPr>
      <w:widowControl w:val="0"/>
      <w:autoSpaceDE w:val="0"/>
      <w:autoSpaceDN w:val="0"/>
      <w:spacing w:before="71" w:after="0" w:line="240" w:lineRule="auto"/>
      <w:ind w:left="1149" w:right="130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тчет_заголовок_1"/>
    <w:basedOn w:val="a2"/>
    <w:next w:val="a2"/>
    <w:rsid w:val="00D21B71"/>
    <w:pPr>
      <w:tabs>
        <w:tab w:val="left" w:pos="0"/>
      </w:tabs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fa">
    <w:name w:val="page number"/>
    <w:basedOn w:val="a3"/>
    <w:rsid w:val="00D21B71"/>
  </w:style>
  <w:style w:type="paragraph" w:customStyle="1" w:styleId="xl67">
    <w:name w:val="xl67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rsid w:val="00D2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2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Текст таблиц"/>
    <w:link w:val="affc"/>
    <w:rsid w:val="00D21B71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affc">
    <w:name w:val="Текст таблиц Знак"/>
    <w:link w:val="affb"/>
    <w:rsid w:val="00D21B71"/>
    <w:rPr>
      <w:rFonts w:ascii="Times New Roman" w:eastAsia="SimSun" w:hAnsi="Times New Roman" w:cs="Times New Roman"/>
      <w:sz w:val="24"/>
      <w:szCs w:val="20"/>
    </w:rPr>
  </w:style>
  <w:style w:type="paragraph" w:customStyle="1" w:styleId="211">
    <w:name w:val="Заголовок 21"/>
    <w:basedOn w:val="a2"/>
    <w:uiPriority w:val="1"/>
    <w:qFormat/>
    <w:rsid w:val="00D21B71"/>
    <w:pPr>
      <w:widowControl w:val="0"/>
      <w:autoSpaceDE w:val="0"/>
      <w:autoSpaceDN w:val="0"/>
      <w:spacing w:after="0" w:line="250" w:lineRule="exact"/>
      <w:ind w:left="1915" w:hanging="498"/>
      <w:jc w:val="both"/>
      <w:outlineLvl w:val="2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infotableheader">
    <w:name w:val="infotableheader"/>
    <w:basedOn w:val="a2"/>
    <w:rsid w:val="00D21B71"/>
    <w:pPr>
      <w:shd w:val="clear" w:color="auto" w:fill="6699FF"/>
      <w:spacing w:before="100" w:beforeAutospacing="1" w:after="100" w:afterAutospacing="1" w:line="240" w:lineRule="auto"/>
      <w:ind w:firstLine="567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ConsPlusNormal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0">
    <w:name w:val="Body Text Indent"/>
    <w:basedOn w:val="a2"/>
    <w:link w:val="20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Знак"/>
    <w:basedOn w:val="a3"/>
    <w:link w:val="10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40">
    <w:name w:val="No Spacing"/>
    <w:uiPriority w:val="1"/>
    <w:qFormat/>
    <w:rsid w:val="00920140"/>
    <w:pPr>
      <w:spacing w:after="0" w:line="240" w:lineRule="auto"/>
    </w:pPr>
  </w:style>
  <w:style w:type="paragraph" w:customStyle="1" w:styleId="a6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20140"/>
    <w:rPr>
      <w:b/>
      <w:bCs/>
      <w:color w:val="000080"/>
    </w:rPr>
  </w:style>
  <w:style w:type="paragraph" w:customStyle="1" w:styleId="a8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Plain Text"/>
    <w:basedOn w:val="a2"/>
    <w:link w:val="aa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3"/>
    <w:link w:val="a9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apple-converted-space"/>
    <w:rsid w:val="008A0C1E"/>
  </w:style>
  <w:style w:type="character" w:customStyle="1" w:styleId="ConsPlusNormal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b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c">
    <w:name w:val="Emphasis"/>
    <w:basedOn w:val="a3"/>
    <w:uiPriority w:val="20"/>
    <w:qFormat/>
    <w:rsid w:val="005E67B9"/>
    <w:rPr>
      <w:i/>
      <w:iCs/>
    </w:rPr>
  </w:style>
  <w:style w:type="paragraph" w:customStyle="1" w:styleId="apple-converted-space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highlightsearch4"/>
    <w:basedOn w:val="a3"/>
    <w:rsid w:val="005E67B9"/>
  </w:style>
  <w:style w:type="paragraph" w:customStyle="1" w:styleId="s15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1">
    <w:name w:val="Title"/>
    <w:basedOn w:val="a2"/>
    <w:link w:val="highlightsearch4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highlightsearch4">
    <w:name w:val="Название Знак"/>
    <w:basedOn w:val="a3"/>
    <w:link w:val="s1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Default">
    <w:name w:val="Body Text"/>
    <w:basedOn w:val="a2"/>
    <w:link w:val="af"/>
    <w:unhideWhenUsed/>
    <w:rsid w:val="003747B8"/>
    <w:pPr>
      <w:spacing w:after="120"/>
    </w:pPr>
  </w:style>
  <w:style w:type="character" w:customStyle="1" w:styleId="af">
    <w:name w:val="Основной текст Знак"/>
    <w:basedOn w:val="a3"/>
    <w:link w:val="Default"/>
    <w:rsid w:val="003747B8"/>
  </w:style>
  <w:style w:type="paragraph" w:styleId="af0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3"/>
    <w:uiPriority w:val="22"/>
    <w:qFormat/>
    <w:rsid w:val="00437CA9"/>
    <w:rPr>
      <w:b/>
      <w:bCs/>
    </w:rPr>
  </w:style>
  <w:style w:type="paragraph" w:customStyle="1" w:styleId="af2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4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listparagraph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--western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af5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1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basedOn w:val="a3"/>
    <w:link w:val="af6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11">
    <w:name w:val="footnote reference"/>
    <w:uiPriority w:val="99"/>
    <w:semiHidden/>
    <w:unhideWhenUsed/>
    <w:rsid w:val="00437CA9"/>
    <w:rPr>
      <w:vertAlign w:val="superscript"/>
    </w:rPr>
  </w:style>
  <w:style w:type="paragraph" w:styleId="af8">
    <w:name w:val="header"/>
    <w:basedOn w:val="a2"/>
    <w:link w:val="af9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9">
    <w:name w:val="Верхний колонтитул Знак"/>
    <w:basedOn w:val="a3"/>
    <w:link w:val="af8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a">
    <w:name w:val="footer"/>
    <w:basedOn w:val="a2"/>
    <w:link w:val="afb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b">
    <w:name w:val="Нижний колонтитул Знак"/>
    <w:basedOn w:val="a3"/>
    <w:link w:val="afa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afc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afe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aff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andard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41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8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9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western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Balloon Text"/>
    <w:basedOn w:val="a2"/>
    <w:link w:val="aff1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0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ConsPlusNonformat">
    <w:name w:val="annotati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2">
    <w:name w:val="Текст примечания Знак"/>
    <w:basedOn w:val="a3"/>
    <w:link w:val="ConsPlusNonformat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3">
    <w:name w:val="annotation subject"/>
    <w:basedOn w:val="ConsPlusNonformat"/>
    <w:next w:val="ConsPlusNonformat"/>
    <w:link w:val="aff4"/>
    <w:uiPriority w:val="99"/>
    <w:semiHidden/>
    <w:unhideWhenUsed/>
    <w:rsid w:val="00437CA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aff5">
    <w:name w:val="Character Style 2"/>
    <w:uiPriority w:val="99"/>
    <w:rsid w:val="00437CA9"/>
    <w:rPr>
      <w:sz w:val="20"/>
    </w:rPr>
  </w:style>
  <w:style w:type="paragraph" w:styleId="aff6">
    <w:name w:val="List Number"/>
    <w:basedOn w:val="a2"/>
    <w:rsid w:val="00437CA9"/>
    <w:pPr>
      <w:numPr>
        <w:numId w:val="12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aff7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6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0174-FF17-4E2B-B1FF-DB4915D0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Gr.N</cp:lastModifiedBy>
  <cp:revision>16</cp:revision>
  <cp:lastPrinted>2021-07-16T08:16:00Z</cp:lastPrinted>
  <dcterms:created xsi:type="dcterms:W3CDTF">2020-11-27T07:05:00Z</dcterms:created>
  <dcterms:modified xsi:type="dcterms:W3CDTF">2021-07-20T09:48:00Z</dcterms:modified>
</cp:coreProperties>
</file>