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6"/>
        <w:tblW w:w="0" w:type="auto"/>
        <w:tblLook w:val="0000" w:firstRow="0" w:lastRow="0" w:firstColumn="0" w:lastColumn="0" w:noHBand="0" w:noVBand="0"/>
      </w:tblPr>
      <w:tblGrid>
        <w:gridCol w:w="4067"/>
        <w:gridCol w:w="1183"/>
        <w:gridCol w:w="4105"/>
      </w:tblGrid>
      <w:tr w:rsidR="00262CEB" w:rsidTr="00CF2E8A">
        <w:trPr>
          <w:cantSplit/>
          <w:trHeight w:val="542"/>
        </w:trPr>
        <w:tc>
          <w:tcPr>
            <w:tcW w:w="4161" w:type="dxa"/>
          </w:tcPr>
          <w:p w:rsidR="00262CEB" w:rsidRDefault="00262CEB" w:rsidP="00CF2E8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262CEB" w:rsidRDefault="00262CEB" w:rsidP="00CF2E8A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262CEB" w:rsidRDefault="00262CEB" w:rsidP="00CF2E8A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152400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262CEB" w:rsidRDefault="00262CEB" w:rsidP="00CF2E8A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262CEB" w:rsidRDefault="00262CEB" w:rsidP="00CF2E8A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262CEB" w:rsidTr="00CF2E8A">
        <w:trPr>
          <w:cantSplit/>
          <w:trHeight w:val="1785"/>
        </w:trPr>
        <w:tc>
          <w:tcPr>
            <w:tcW w:w="4161" w:type="dxa"/>
          </w:tcPr>
          <w:p w:rsidR="00262CEB" w:rsidRDefault="00262CEB" w:rsidP="00CF2E8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</w:t>
            </w:r>
          </w:p>
          <w:p w:rsidR="00262CEB" w:rsidRDefault="00262CEB" w:rsidP="00CF2E8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262CEB" w:rsidRDefault="00262CEB" w:rsidP="00CF2E8A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262CEB" w:rsidRDefault="00262CEB" w:rsidP="00CF2E8A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262CEB" w:rsidRDefault="00262CEB" w:rsidP="00CF2E8A">
            <w:pPr>
              <w:spacing w:before="40"/>
              <w:rPr>
                <w:rFonts w:ascii="Arial Cyr Chuv" w:hAnsi="Arial Cyr Chuv"/>
              </w:rPr>
            </w:pPr>
          </w:p>
          <w:p w:rsidR="00262CEB" w:rsidRPr="00AE0004" w:rsidRDefault="00262CEB" w:rsidP="00CF2E8A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E0004">
              <w:rPr>
                <w:rFonts w:ascii="Times New Roman" w:hAnsi="Times New Roman" w:cs="Times New Roman"/>
                <w:noProof/>
                <w:color w:val="000000"/>
                <w:sz w:val="26"/>
              </w:rPr>
              <w:t>«      »             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Pr="00AE000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г.  №    </w:t>
            </w:r>
          </w:p>
          <w:p w:rsidR="00262CEB" w:rsidRPr="00BE5E72" w:rsidRDefault="00262CEB" w:rsidP="00CF2E8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BE5E72"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1225" w:type="dxa"/>
            <w:vMerge/>
          </w:tcPr>
          <w:p w:rsidR="00262CEB" w:rsidRDefault="00262CEB" w:rsidP="00CF2E8A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62CEB" w:rsidRDefault="00262CEB" w:rsidP="00CF2E8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262CEB" w:rsidRDefault="00262CEB" w:rsidP="00CF2E8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ШЕМУРШИНСКОГО</w:t>
            </w:r>
          </w:p>
          <w:p w:rsidR="00262CEB" w:rsidRDefault="00262CEB" w:rsidP="00CF2E8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262CEB" w:rsidRDefault="00262CEB" w:rsidP="00CF2E8A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262CEB" w:rsidRDefault="00262CEB" w:rsidP="00CF2E8A">
            <w:pPr>
              <w:spacing w:before="40"/>
              <w:rPr>
                <w:rFonts w:ascii="Arial Cyr Chuv" w:hAnsi="Arial Cyr Chuv"/>
              </w:rPr>
            </w:pPr>
          </w:p>
          <w:p w:rsidR="00262CEB" w:rsidRPr="00AE0004" w:rsidRDefault="00262CEB" w:rsidP="00CF2E8A">
            <w:pPr>
              <w:spacing w:before="40"/>
              <w:rPr>
                <w:sz w:val="26"/>
                <w:szCs w:val="26"/>
              </w:rPr>
            </w:pPr>
            <w:r>
              <w:rPr>
                <w:rFonts w:ascii="Arial Cyr Chuv" w:hAnsi="Arial Cyr Chuv"/>
              </w:rPr>
              <w:t xml:space="preserve">         </w:t>
            </w:r>
            <w:proofErr w:type="gramStart"/>
            <w:r w:rsidRPr="00AE0004">
              <w:rPr>
                <w:sz w:val="26"/>
                <w:szCs w:val="26"/>
              </w:rPr>
              <w:t>от</w:t>
            </w:r>
            <w:proofErr w:type="gramEnd"/>
            <w:r w:rsidRPr="00AE0004">
              <w:rPr>
                <w:sz w:val="26"/>
                <w:szCs w:val="26"/>
              </w:rPr>
              <w:t xml:space="preserve"> </w:t>
            </w:r>
            <w:r w:rsidRPr="00AE0004">
              <w:rPr>
                <w:noProof/>
                <w:color w:val="000000"/>
                <w:sz w:val="26"/>
                <w:szCs w:val="26"/>
              </w:rPr>
              <w:t>«</w:t>
            </w:r>
            <w:r w:rsidR="00FD1ECC">
              <w:rPr>
                <w:noProof/>
                <w:color w:val="000000"/>
                <w:sz w:val="26"/>
                <w:szCs w:val="26"/>
              </w:rPr>
              <w:t>03</w:t>
            </w:r>
            <w:r w:rsidRPr="00AE0004">
              <w:rPr>
                <w:noProof/>
                <w:color w:val="000000"/>
                <w:sz w:val="26"/>
                <w:szCs w:val="26"/>
              </w:rPr>
              <w:t xml:space="preserve">» </w:t>
            </w:r>
            <w:r>
              <w:rPr>
                <w:noProof/>
                <w:color w:val="000000"/>
                <w:sz w:val="26"/>
                <w:szCs w:val="26"/>
              </w:rPr>
              <w:t xml:space="preserve">февраля </w:t>
            </w:r>
            <w:r>
              <w:rPr>
                <w:sz w:val="26"/>
                <w:szCs w:val="26"/>
              </w:rPr>
              <w:t>202</w:t>
            </w:r>
            <w:r w:rsidR="00FD1ECC">
              <w:rPr>
                <w:sz w:val="26"/>
                <w:szCs w:val="26"/>
              </w:rPr>
              <w:t>1</w:t>
            </w:r>
            <w:r w:rsidRPr="00AE0004">
              <w:rPr>
                <w:sz w:val="26"/>
                <w:szCs w:val="26"/>
              </w:rPr>
              <w:t xml:space="preserve">г.  № </w:t>
            </w:r>
            <w:r w:rsidR="004D7942"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  <w:p w:rsidR="00262CEB" w:rsidRDefault="00262CEB" w:rsidP="00CF2E8A">
            <w:pPr>
              <w:tabs>
                <w:tab w:val="left" w:pos="795"/>
                <w:tab w:val="center" w:pos="1984"/>
              </w:tabs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AE0004">
              <w:rPr>
                <w:rFonts w:ascii="Arial Cyr Chuv" w:hAnsi="Arial Cyr Chuv"/>
                <w:sz w:val="26"/>
                <w:szCs w:val="26"/>
              </w:rPr>
              <w:tab/>
            </w:r>
            <w:r w:rsidRPr="00AE0004">
              <w:rPr>
                <w:rFonts w:ascii="Arial Cyr Chuv" w:hAnsi="Arial Cyr Chuv"/>
                <w:sz w:val="26"/>
                <w:szCs w:val="26"/>
              </w:rPr>
              <w:tab/>
            </w:r>
            <w:proofErr w:type="gramStart"/>
            <w:r w:rsidRPr="00AE0004">
              <w:rPr>
                <w:rFonts w:ascii="Arial Cyr Chuv" w:hAnsi="Arial Cyr Chuv"/>
                <w:sz w:val="26"/>
                <w:szCs w:val="26"/>
              </w:rPr>
              <w:t>село</w:t>
            </w:r>
            <w:proofErr w:type="gramEnd"/>
            <w:r w:rsidRPr="00AE0004">
              <w:rPr>
                <w:rFonts w:ascii="Arial Cyr Chuv" w:hAnsi="Arial Cyr Chuv"/>
                <w:sz w:val="26"/>
                <w:szCs w:val="26"/>
              </w:rPr>
              <w:t xml:space="preserve"> Шемурша</w:t>
            </w:r>
          </w:p>
        </w:tc>
      </w:tr>
    </w:tbl>
    <w:p w:rsidR="00262CEB" w:rsidRDefault="00262CEB" w:rsidP="00262CEB"/>
    <w:p w:rsidR="00C226A6" w:rsidRDefault="00C226A6" w:rsidP="00F7329E">
      <w:r>
        <w:t xml:space="preserve"> </w:t>
      </w:r>
    </w:p>
    <w:p w:rsidR="00F7329E" w:rsidRDefault="00F7329E" w:rsidP="00F7329E">
      <w:pPr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25659E" w:rsidRDefault="0025659E" w:rsidP="0025659E">
      <w:r>
        <w:t>О внесении изменений в решение Собрания</w:t>
      </w:r>
    </w:p>
    <w:p w:rsidR="0025659E" w:rsidRDefault="0025659E" w:rsidP="0025659E">
      <w:r>
        <w:t xml:space="preserve"> </w:t>
      </w:r>
      <w:proofErr w:type="gramStart"/>
      <w:r>
        <w:t>депутатов</w:t>
      </w:r>
      <w:proofErr w:type="gramEnd"/>
      <w:r>
        <w:t xml:space="preserve"> Шемуршинского сельского</w:t>
      </w:r>
    </w:p>
    <w:p w:rsidR="0025659E" w:rsidRDefault="0025659E" w:rsidP="0025659E">
      <w:pPr>
        <w:jc w:val="both"/>
      </w:pPr>
      <w:r>
        <w:t xml:space="preserve"> </w:t>
      </w:r>
      <w:proofErr w:type="gramStart"/>
      <w:r>
        <w:t xml:space="preserve">поселения  </w:t>
      </w:r>
      <w:r w:rsidRPr="00744E96">
        <w:t>от</w:t>
      </w:r>
      <w:proofErr w:type="gramEnd"/>
      <w:r w:rsidRPr="00744E96">
        <w:t xml:space="preserve">  16 декабря</w:t>
      </w:r>
      <w:r>
        <w:t xml:space="preserve">  2016 г. № 7</w:t>
      </w:r>
    </w:p>
    <w:p w:rsidR="0025659E" w:rsidRDefault="0025659E" w:rsidP="0025659E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t>«</w:t>
      </w:r>
      <w:r>
        <w:rPr>
          <w:rFonts w:ascii="Times New Roman CYR" w:hAnsi="Times New Roman CYR" w:cs="Times New Roman CYR"/>
          <w:color w:val="000000"/>
        </w:rPr>
        <w:t xml:space="preserve">Об </w:t>
      </w:r>
      <w:proofErr w:type="gramStart"/>
      <w:r>
        <w:rPr>
          <w:rFonts w:ascii="Times New Roman CYR" w:hAnsi="Times New Roman CYR" w:cs="Times New Roman CYR"/>
          <w:color w:val="000000"/>
        </w:rPr>
        <w:t>утверждении  Правил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землепользования и застройки</w:t>
      </w:r>
    </w:p>
    <w:p w:rsidR="0025659E" w:rsidRDefault="0025659E" w:rsidP="0025659E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Шемуршинского сельского поселения  </w:t>
      </w:r>
    </w:p>
    <w:p w:rsidR="0025659E" w:rsidRDefault="0025659E" w:rsidP="0025659E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>Шемуршинского района Чувашской Республики»</w:t>
      </w:r>
    </w:p>
    <w:p w:rsidR="0025659E" w:rsidRDefault="0025659E" w:rsidP="0025659E">
      <w:pPr>
        <w:jc w:val="center"/>
      </w:pPr>
      <w:r>
        <w:rPr>
          <w:b/>
          <w:bCs/>
          <w:color w:val="000000"/>
        </w:rPr>
        <w:br/>
      </w:r>
      <w:r>
        <w:t xml:space="preserve"> Собрание депутатов Шемуршинского сельского поселения Шемуршинского района Чувашской </w:t>
      </w:r>
      <w:proofErr w:type="gramStart"/>
      <w:r>
        <w:t>Республики  решило</w:t>
      </w:r>
      <w:proofErr w:type="gramEnd"/>
      <w:r>
        <w:t>:</w:t>
      </w:r>
    </w:p>
    <w:p w:rsidR="0025659E" w:rsidRDefault="0025659E" w:rsidP="0025659E">
      <w:pPr>
        <w:tabs>
          <w:tab w:val="left" w:pos="900"/>
        </w:tabs>
        <w:jc w:val="both"/>
      </w:pPr>
    </w:p>
    <w:p w:rsidR="0025659E" w:rsidRDefault="0025659E" w:rsidP="0025659E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 xml:space="preserve">          Внести в решение Собрания депутатов Шемуршинского сельского поселения от   16   декабря </w:t>
      </w:r>
      <w:r w:rsidRPr="00744E96">
        <w:t>2016</w:t>
      </w:r>
      <w:r>
        <w:t xml:space="preserve"> года   №</w:t>
      </w:r>
      <w:proofErr w:type="gramStart"/>
      <w:r>
        <w:t>7  «</w:t>
      </w:r>
      <w:proofErr w:type="gramEnd"/>
      <w:r>
        <w:rPr>
          <w:rFonts w:ascii="Times New Roman CYR" w:hAnsi="Times New Roman CYR" w:cs="Times New Roman CYR"/>
          <w:color w:val="000000"/>
        </w:rPr>
        <w:t>Об утверждении  Правил землепользования и застройки</w:t>
      </w:r>
      <w:r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Шемуршинского сельского поселения  </w:t>
      </w:r>
      <w:r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>Шемуршинского района Чувашской   Республики»  (с изменениями, внесенными решением Собрания депутатов Шемуршинского сельского поселения от 29.09.2017 года  №1) – (далее Правила)  следующие изменения:</w:t>
      </w:r>
      <w:r>
        <w:t xml:space="preserve">  </w:t>
      </w:r>
    </w:p>
    <w:p w:rsidR="0025659E" w:rsidRDefault="0025659E" w:rsidP="0025659E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</w:pPr>
      <w:r>
        <w:t xml:space="preserve">Статья </w:t>
      </w:r>
      <w:proofErr w:type="gramStart"/>
      <w:r w:rsidRPr="00744E96">
        <w:t>40</w:t>
      </w:r>
      <w:r>
        <w:t xml:space="preserve">  </w:t>
      </w:r>
      <w:proofErr w:type="spellStart"/>
      <w:r>
        <w:t>Градостироительный</w:t>
      </w:r>
      <w:proofErr w:type="spellEnd"/>
      <w:proofErr w:type="gramEnd"/>
      <w:r>
        <w:t xml:space="preserve"> регламент зоны застройки малоэтажными жилыми домами (Ж-2)</w:t>
      </w:r>
    </w:p>
    <w:p w:rsidR="0025659E" w:rsidRDefault="0025659E" w:rsidP="0025659E">
      <w:pPr>
        <w:tabs>
          <w:tab w:val="left" w:pos="1440"/>
        </w:tabs>
        <w:autoSpaceDE w:val="0"/>
        <w:autoSpaceDN w:val="0"/>
        <w:adjustRightInd w:val="0"/>
        <w:ind w:left="360"/>
      </w:pPr>
      <w:r>
        <w:t xml:space="preserve"> </w:t>
      </w:r>
      <w:proofErr w:type="gramStart"/>
      <w:r>
        <w:t>основные</w:t>
      </w:r>
      <w:proofErr w:type="gramEnd"/>
      <w:r>
        <w:t xml:space="preserve"> виды в параметры разрешенного использования земельного участка и </w:t>
      </w:r>
      <w:proofErr w:type="spellStart"/>
      <w:r>
        <w:t>обьектов</w:t>
      </w:r>
      <w:proofErr w:type="spellEnd"/>
      <w:r>
        <w:t xml:space="preserve"> капитального ремонта   дополнить пунктом  11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851"/>
        <w:gridCol w:w="1134"/>
        <w:gridCol w:w="850"/>
        <w:gridCol w:w="993"/>
      </w:tblGrid>
      <w:tr w:rsidR="0025659E" w:rsidRPr="001431DC" w:rsidTr="004771FC">
        <w:trPr>
          <w:cantSplit/>
          <w:trHeight w:val="297"/>
        </w:trPr>
        <w:tc>
          <w:tcPr>
            <w:tcW w:w="567" w:type="dxa"/>
            <w:vMerge w:val="restart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№</w:t>
            </w:r>
          </w:p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 w:rsidRPr="001431DC">
              <w:rPr>
                <w:iCs/>
                <w:sz w:val="20"/>
              </w:rPr>
              <w:t>п</w:t>
            </w:r>
            <w:proofErr w:type="gramEnd"/>
            <w:r w:rsidRPr="001431DC"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extDirection w:val="btLr"/>
          </w:tcPr>
          <w:p w:rsidR="0025659E" w:rsidRPr="001431DC" w:rsidRDefault="0025659E" w:rsidP="004771FC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Код (числовое обозначение)</w:t>
            </w:r>
          </w:p>
          <w:p w:rsidR="0025659E" w:rsidRPr="001431DC" w:rsidRDefault="0025659E" w:rsidP="004771FC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proofErr w:type="gramStart"/>
            <w:r w:rsidRPr="001431DC">
              <w:rPr>
                <w:iCs/>
                <w:sz w:val="20"/>
              </w:rPr>
              <w:t>в</w:t>
            </w:r>
            <w:proofErr w:type="gramEnd"/>
            <w:r w:rsidRPr="001431DC">
              <w:rPr>
                <w:iCs/>
                <w:sz w:val="20"/>
              </w:rPr>
              <w:t xml:space="preserve">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25659E" w:rsidRPr="001431DC" w:rsidRDefault="0025659E" w:rsidP="004771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431DC"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1431DC">
              <w:rPr>
                <w:bCs/>
                <w:iCs/>
                <w:sz w:val="20"/>
              </w:rPr>
              <w:t xml:space="preserve"> </w:t>
            </w:r>
            <w:r w:rsidRPr="001431DC">
              <w:rPr>
                <w:sz w:val="20"/>
                <w:szCs w:val="20"/>
                <w:lang w:eastAsia="ar-SA"/>
              </w:rPr>
              <w:t xml:space="preserve">утвержденным </w:t>
            </w:r>
            <w:r w:rsidRPr="001431DC"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bCs/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5659E" w:rsidRPr="001431DC" w:rsidTr="004771FC">
        <w:trPr>
          <w:cantSplit/>
          <w:trHeight w:val="2422"/>
        </w:trPr>
        <w:tc>
          <w:tcPr>
            <w:tcW w:w="567" w:type="dxa"/>
            <w:vMerge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993" w:type="dxa"/>
            <w:vMerge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sz w:val="20"/>
              </w:rPr>
            </w:pPr>
            <w:r w:rsidRPr="001431DC"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Предельные размеры земельных участков (мин.-макс.), га</w:t>
            </w:r>
          </w:p>
        </w:tc>
        <w:tc>
          <w:tcPr>
            <w:tcW w:w="850" w:type="dxa"/>
            <w:textDirection w:val="btLr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3" w:type="dxa"/>
            <w:textDirection w:val="btLr"/>
          </w:tcPr>
          <w:p w:rsidR="0025659E" w:rsidRPr="001431DC" w:rsidRDefault="0025659E" w:rsidP="004771FC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 w:rsidRPr="00A303AD"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25659E" w:rsidRPr="001D6241" w:rsidRDefault="0025659E" w:rsidP="0025659E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990"/>
        <w:gridCol w:w="4104"/>
        <w:gridCol w:w="863"/>
        <w:gridCol w:w="1134"/>
        <w:gridCol w:w="850"/>
        <w:gridCol w:w="993"/>
      </w:tblGrid>
      <w:tr w:rsidR="0025659E" w:rsidRPr="001431DC" w:rsidTr="004771FC">
        <w:trPr>
          <w:trHeight w:val="281"/>
          <w:tblHeader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2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bCs/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bCs/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7</w:t>
            </w:r>
          </w:p>
        </w:tc>
      </w:tr>
      <w:tr w:rsidR="0025659E" w:rsidRPr="001431DC" w:rsidTr="004771FC">
        <w:trPr>
          <w:trHeight w:val="397"/>
        </w:trPr>
        <w:tc>
          <w:tcPr>
            <w:tcW w:w="9498" w:type="dxa"/>
            <w:gridSpan w:val="7"/>
            <w:tcBorders>
              <w:top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 w:rsidRPr="001431DC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5659E" w:rsidRPr="001431DC" w:rsidTr="004771FC">
        <w:trPr>
          <w:trHeight w:val="397"/>
        </w:trPr>
        <w:tc>
          <w:tcPr>
            <w:tcW w:w="564" w:type="dxa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990" w:type="dxa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2.7.1</w:t>
            </w:r>
          </w:p>
        </w:tc>
        <w:tc>
          <w:tcPr>
            <w:tcW w:w="4104" w:type="dxa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Хранение автотранспорта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5659E" w:rsidRPr="000B6230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:rsidR="0025659E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</w:t>
            </w:r>
          </w:p>
          <w:p w:rsidR="0025659E" w:rsidRPr="000B6230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0,001</w:t>
            </w:r>
          </w:p>
        </w:tc>
        <w:tc>
          <w:tcPr>
            <w:tcW w:w="850" w:type="dxa"/>
            <w:vAlign w:val="center"/>
          </w:tcPr>
          <w:p w:rsidR="0025659E" w:rsidRPr="000B6230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</w:t>
            </w:r>
            <w:r w:rsidRPr="000B6230">
              <w:rPr>
                <w:iCs/>
              </w:rPr>
              <w:t>0</w:t>
            </w:r>
          </w:p>
        </w:tc>
        <w:tc>
          <w:tcPr>
            <w:tcW w:w="993" w:type="dxa"/>
            <w:vAlign w:val="center"/>
          </w:tcPr>
          <w:p w:rsidR="0025659E" w:rsidRPr="000B6230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25659E" w:rsidRDefault="0025659E" w:rsidP="0025659E">
      <w:pPr>
        <w:tabs>
          <w:tab w:val="left" w:pos="1440"/>
        </w:tabs>
        <w:autoSpaceDE w:val="0"/>
        <w:autoSpaceDN w:val="0"/>
        <w:adjustRightInd w:val="0"/>
      </w:pPr>
    </w:p>
    <w:p w:rsidR="0025659E" w:rsidRDefault="0025659E" w:rsidP="0025659E">
      <w:pPr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</w:pPr>
      <w:r>
        <w:t xml:space="preserve">Статья </w:t>
      </w:r>
      <w:proofErr w:type="gramStart"/>
      <w:r>
        <w:t xml:space="preserve">39  </w:t>
      </w:r>
      <w:proofErr w:type="spellStart"/>
      <w:r>
        <w:t>Градостироительный</w:t>
      </w:r>
      <w:proofErr w:type="spellEnd"/>
      <w:proofErr w:type="gramEnd"/>
      <w:r>
        <w:t xml:space="preserve"> регламент зоны застройки малоэтажными жилыми домами (Ж-1)</w:t>
      </w:r>
    </w:p>
    <w:p w:rsidR="0025659E" w:rsidRDefault="0025659E" w:rsidP="0025659E">
      <w:pPr>
        <w:tabs>
          <w:tab w:val="left" w:pos="1440"/>
        </w:tabs>
        <w:autoSpaceDE w:val="0"/>
        <w:autoSpaceDN w:val="0"/>
        <w:adjustRightInd w:val="0"/>
        <w:ind w:left="360"/>
      </w:pPr>
      <w:r>
        <w:t xml:space="preserve"> </w:t>
      </w:r>
      <w:proofErr w:type="gramStart"/>
      <w:r>
        <w:t>основные</w:t>
      </w:r>
      <w:proofErr w:type="gramEnd"/>
      <w:r>
        <w:t xml:space="preserve"> виды в параметры разрешенного использования земельного участка и </w:t>
      </w:r>
      <w:proofErr w:type="spellStart"/>
      <w:r>
        <w:t>обьектов</w:t>
      </w:r>
      <w:proofErr w:type="spellEnd"/>
      <w:r>
        <w:t xml:space="preserve"> капитального ремонта   дополнить пунктом  15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851"/>
        <w:gridCol w:w="1134"/>
        <w:gridCol w:w="850"/>
        <w:gridCol w:w="993"/>
      </w:tblGrid>
      <w:tr w:rsidR="0025659E" w:rsidRPr="001431DC" w:rsidTr="004771FC">
        <w:trPr>
          <w:cantSplit/>
          <w:trHeight w:val="297"/>
        </w:trPr>
        <w:tc>
          <w:tcPr>
            <w:tcW w:w="567" w:type="dxa"/>
            <w:vMerge w:val="restart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lastRenderedPageBreak/>
              <w:t>№</w:t>
            </w:r>
          </w:p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 w:rsidRPr="001431DC">
              <w:rPr>
                <w:iCs/>
                <w:sz w:val="20"/>
              </w:rPr>
              <w:t>п</w:t>
            </w:r>
            <w:proofErr w:type="gramEnd"/>
            <w:r w:rsidRPr="001431DC"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extDirection w:val="btLr"/>
          </w:tcPr>
          <w:p w:rsidR="0025659E" w:rsidRPr="001431DC" w:rsidRDefault="0025659E" w:rsidP="004771FC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Код (числовое обозначение)</w:t>
            </w:r>
          </w:p>
          <w:p w:rsidR="0025659E" w:rsidRPr="001431DC" w:rsidRDefault="0025659E" w:rsidP="004771FC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proofErr w:type="gramStart"/>
            <w:r w:rsidRPr="001431DC">
              <w:rPr>
                <w:iCs/>
                <w:sz w:val="20"/>
              </w:rPr>
              <w:t>в</w:t>
            </w:r>
            <w:proofErr w:type="gramEnd"/>
            <w:r w:rsidRPr="001431DC">
              <w:rPr>
                <w:iCs/>
                <w:sz w:val="20"/>
              </w:rPr>
              <w:t xml:space="preserve">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25659E" w:rsidRPr="001431DC" w:rsidRDefault="0025659E" w:rsidP="004771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431DC"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1431DC">
              <w:rPr>
                <w:bCs/>
                <w:iCs/>
                <w:sz w:val="20"/>
              </w:rPr>
              <w:t xml:space="preserve"> </w:t>
            </w:r>
            <w:r w:rsidRPr="001431DC">
              <w:rPr>
                <w:sz w:val="20"/>
                <w:szCs w:val="20"/>
                <w:lang w:eastAsia="ar-SA"/>
              </w:rPr>
              <w:t xml:space="preserve">утвержденным </w:t>
            </w:r>
            <w:r w:rsidRPr="001431DC"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bCs/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5659E" w:rsidRPr="001431DC" w:rsidTr="004771FC">
        <w:trPr>
          <w:cantSplit/>
          <w:trHeight w:val="2422"/>
        </w:trPr>
        <w:tc>
          <w:tcPr>
            <w:tcW w:w="567" w:type="dxa"/>
            <w:vMerge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993" w:type="dxa"/>
            <w:vMerge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sz w:val="20"/>
              </w:rPr>
            </w:pPr>
            <w:r w:rsidRPr="001431DC"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Предельные размеры земельных участков (мин.-макс.), га</w:t>
            </w:r>
          </w:p>
        </w:tc>
        <w:tc>
          <w:tcPr>
            <w:tcW w:w="850" w:type="dxa"/>
            <w:textDirection w:val="btLr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3" w:type="dxa"/>
            <w:textDirection w:val="btLr"/>
          </w:tcPr>
          <w:p w:rsidR="0025659E" w:rsidRPr="001431DC" w:rsidRDefault="0025659E" w:rsidP="004771FC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 w:rsidRPr="00A303AD"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25659E" w:rsidRPr="001D6241" w:rsidRDefault="0025659E" w:rsidP="0025659E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990"/>
        <w:gridCol w:w="4104"/>
        <w:gridCol w:w="863"/>
        <w:gridCol w:w="1134"/>
        <w:gridCol w:w="850"/>
        <w:gridCol w:w="993"/>
      </w:tblGrid>
      <w:tr w:rsidR="0025659E" w:rsidRPr="001431DC" w:rsidTr="004771FC">
        <w:trPr>
          <w:trHeight w:val="281"/>
          <w:tblHeader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2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bCs/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bCs/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7</w:t>
            </w:r>
          </w:p>
        </w:tc>
      </w:tr>
      <w:tr w:rsidR="0025659E" w:rsidRPr="001431DC" w:rsidTr="004771FC">
        <w:trPr>
          <w:trHeight w:val="397"/>
        </w:trPr>
        <w:tc>
          <w:tcPr>
            <w:tcW w:w="9498" w:type="dxa"/>
            <w:gridSpan w:val="7"/>
            <w:tcBorders>
              <w:top w:val="single" w:sz="4" w:space="0" w:color="auto"/>
            </w:tcBorders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 w:rsidRPr="001431DC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5659E" w:rsidRPr="001431DC" w:rsidTr="004771FC">
        <w:trPr>
          <w:trHeight w:val="397"/>
        </w:trPr>
        <w:tc>
          <w:tcPr>
            <w:tcW w:w="564" w:type="dxa"/>
          </w:tcPr>
          <w:p w:rsidR="0025659E" w:rsidRPr="001431DC" w:rsidRDefault="0025659E" w:rsidP="004771FC">
            <w:pPr>
              <w:suppressAutoHyphens/>
              <w:snapToGrid w:val="0"/>
            </w:pPr>
            <w:r w:rsidRPr="001431DC">
              <w:t>1</w:t>
            </w:r>
          </w:p>
        </w:tc>
        <w:tc>
          <w:tcPr>
            <w:tcW w:w="990" w:type="dxa"/>
          </w:tcPr>
          <w:p w:rsidR="0025659E" w:rsidRPr="001431DC" w:rsidRDefault="0025659E" w:rsidP="004771FC">
            <w:pPr>
              <w:suppressAutoHyphens/>
              <w:snapToGrid w:val="0"/>
            </w:pPr>
            <w:r w:rsidRPr="001431DC">
              <w:t>2.1</w:t>
            </w:r>
          </w:p>
        </w:tc>
        <w:tc>
          <w:tcPr>
            <w:tcW w:w="4104" w:type="dxa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 w:rsidRPr="001431DC">
              <w:t xml:space="preserve">Для </w:t>
            </w:r>
            <w:r w:rsidRPr="001431DC">
              <w:rPr>
                <w:iCs/>
              </w:rPr>
              <w:t>индивидуального жилищного строительства</w:t>
            </w:r>
          </w:p>
        </w:tc>
        <w:tc>
          <w:tcPr>
            <w:tcW w:w="863" w:type="dxa"/>
            <w:shd w:val="clear" w:color="auto" w:fill="auto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3</w:t>
            </w:r>
          </w:p>
        </w:tc>
        <w:tc>
          <w:tcPr>
            <w:tcW w:w="1134" w:type="dxa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0,02</w:t>
            </w:r>
            <w:r w:rsidRPr="006D4AAC">
              <w:rPr>
                <w:iCs/>
              </w:rPr>
              <w:t xml:space="preserve"> -0,1</w:t>
            </w:r>
            <w:r>
              <w:rPr>
                <w:iCs/>
              </w:rPr>
              <w:t>5</w:t>
            </w:r>
          </w:p>
        </w:tc>
        <w:tc>
          <w:tcPr>
            <w:tcW w:w="850" w:type="dxa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>
              <w:t>50</w:t>
            </w:r>
          </w:p>
        </w:tc>
        <w:tc>
          <w:tcPr>
            <w:tcW w:w="993" w:type="dxa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5659E" w:rsidRPr="001431DC" w:rsidTr="004771FC">
        <w:trPr>
          <w:trHeight w:val="397"/>
        </w:trPr>
        <w:tc>
          <w:tcPr>
            <w:tcW w:w="564" w:type="dxa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990" w:type="dxa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4.9.1</w:t>
            </w:r>
          </w:p>
        </w:tc>
        <w:tc>
          <w:tcPr>
            <w:tcW w:w="4104" w:type="dxa"/>
            <w:vAlign w:val="center"/>
          </w:tcPr>
          <w:p w:rsidR="0025659E" w:rsidRPr="001431DC" w:rsidRDefault="0025659E" w:rsidP="004771FC">
            <w:pPr>
              <w:suppressAutoHyphens/>
              <w:snapToGrid w:val="0"/>
              <w:rPr>
                <w:iCs/>
              </w:rPr>
            </w:pPr>
            <w:proofErr w:type="spellStart"/>
            <w:r>
              <w:rPr>
                <w:iCs/>
              </w:rPr>
              <w:t>Обьекты</w:t>
            </w:r>
            <w:proofErr w:type="spellEnd"/>
            <w:r>
              <w:rPr>
                <w:iCs/>
              </w:rPr>
              <w:t xml:space="preserve"> дорожного сервиса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5659E" w:rsidRPr="000B6230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:rsidR="0025659E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</w:t>
            </w:r>
          </w:p>
          <w:p w:rsidR="0025659E" w:rsidRPr="000B6230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0,006</w:t>
            </w:r>
          </w:p>
        </w:tc>
        <w:tc>
          <w:tcPr>
            <w:tcW w:w="850" w:type="dxa"/>
            <w:vAlign w:val="center"/>
          </w:tcPr>
          <w:p w:rsidR="0025659E" w:rsidRPr="000B6230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</w:t>
            </w:r>
            <w:r w:rsidRPr="000B6230">
              <w:rPr>
                <w:iCs/>
              </w:rPr>
              <w:t>0</w:t>
            </w:r>
          </w:p>
        </w:tc>
        <w:tc>
          <w:tcPr>
            <w:tcW w:w="993" w:type="dxa"/>
            <w:vAlign w:val="center"/>
          </w:tcPr>
          <w:p w:rsidR="0025659E" w:rsidRPr="000B6230" w:rsidRDefault="0025659E" w:rsidP="004771FC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25659E" w:rsidRDefault="0025659E" w:rsidP="0025659E">
      <w:pPr>
        <w:jc w:val="both"/>
      </w:pPr>
    </w:p>
    <w:p w:rsidR="0025659E" w:rsidRDefault="0025659E" w:rsidP="0025659E">
      <w:pPr>
        <w:tabs>
          <w:tab w:val="left" w:pos="1440"/>
        </w:tabs>
        <w:autoSpaceDE w:val="0"/>
        <w:autoSpaceDN w:val="0"/>
        <w:adjustRightInd w:val="0"/>
        <w:rPr>
          <w:b/>
          <w:bCs/>
        </w:rPr>
      </w:pPr>
      <w:r>
        <w:t>2. Настоящее решение вступает в силу после официального опубликования в периодическом печатном издании «Вести Шемуршинского сельского поселения» и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подлежит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размещению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на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официальном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сайте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администрации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Шемуршинского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сельского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поселения Шемуршинского района Чувашской Республики</w:t>
      </w:r>
      <w:r>
        <w:rPr>
          <w:rFonts w:ascii="TimesET" w:hAnsi="TimesET" w:cs="TimesET"/>
        </w:rPr>
        <w:t>.</w:t>
      </w:r>
    </w:p>
    <w:p w:rsidR="0025659E" w:rsidRDefault="0025659E" w:rsidP="0025659E">
      <w:pPr>
        <w:jc w:val="both"/>
      </w:pPr>
    </w:p>
    <w:p w:rsidR="0025659E" w:rsidRDefault="0025659E" w:rsidP="0025659E">
      <w:pPr>
        <w:jc w:val="both"/>
      </w:pPr>
    </w:p>
    <w:p w:rsidR="0025659E" w:rsidRDefault="0025659E" w:rsidP="0025659E">
      <w:pPr>
        <w:jc w:val="both"/>
      </w:pPr>
      <w:r>
        <w:t>Председатель Собрания депутатов Шемуршинского</w:t>
      </w:r>
    </w:p>
    <w:p w:rsidR="0025659E" w:rsidRDefault="0025659E" w:rsidP="0025659E">
      <w:pPr>
        <w:jc w:val="both"/>
      </w:pPr>
      <w:proofErr w:type="gramStart"/>
      <w:r>
        <w:t>сельского</w:t>
      </w:r>
      <w:proofErr w:type="gramEnd"/>
      <w:r>
        <w:t xml:space="preserve"> поселения Шемуршинского района </w:t>
      </w:r>
    </w:p>
    <w:p w:rsidR="0025659E" w:rsidRDefault="0025659E" w:rsidP="0025659E">
      <w:pPr>
        <w:jc w:val="both"/>
      </w:pPr>
      <w:r>
        <w:t xml:space="preserve">Чувашской Республики                                                                                     </w:t>
      </w:r>
      <w:proofErr w:type="spellStart"/>
      <w:r>
        <w:t>Е.С.Воронцова</w:t>
      </w:r>
      <w:proofErr w:type="spellEnd"/>
    </w:p>
    <w:p w:rsidR="0025659E" w:rsidRDefault="0025659E" w:rsidP="0025659E">
      <w:pPr>
        <w:jc w:val="both"/>
      </w:pPr>
    </w:p>
    <w:p w:rsidR="0025659E" w:rsidRDefault="0025659E" w:rsidP="0025659E">
      <w:pPr>
        <w:tabs>
          <w:tab w:val="left" w:pos="900"/>
        </w:tabs>
        <w:jc w:val="both"/>
      </w:pPr>
      <w:proofErr w:type="gramStart"/>
      <w:r>
        <w:t>Глава  Шемуршинского</w:t>
      </w:r>
      <w:proofErr w:type="gramEnd"/>
      <w:r>
        <w:t xml:space="preserve"> сельского поселения</w:t>
      </w:r>
    </w:p>
    <w:p w:rsidR="0025659E" w:rsidRDefault="0025659E" w:rsidP="0025659E">
      <w:pPr>
        <w:tabs>
          <w:tab w:val="left" w:pos="900"/>
        </w:tabs>
        <w:jc w:val="both"/>
      </w:pPr>
      <w:r>
        <w:t xml:space="preserve">Шемуршинского района Чувашской Республики                                           </w:t>
      </w:r>
      <w:proofErr w:type="spellStart"/>
      <w:r>
        <w:t>А.Н.Удин</w:t>
      </w:r>
      <w:proofErr w:type="spellEnd"/>
    </w:p>
    <w:p w:rsidR="0025659E" w:rsidRDefault="0025659E" w:rsidP="0025659E">
      <w:pPr>
        <w:tabs>
          <w:tab w:val="left" w:pos="900"/>
        </w:tabs>
        <w:jc w:val="both"/>
      </w:pPr>
    </w:p>
    <w:p w:rsidR="0025659E" w:rsidRDefault="0025659E" w:rsidP="0025659E">
      <w:pPr>
        <w:tabs>
          <w:tab w:val="left" w:pos="1440"/>
        </w:tabs>
        <w:rPr>
          <w:bCs/>
          <w:color w:val="00000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C226A6" w:rsidRDefault="00C226A6" w:rsidP="00262CEB">
      <w:pPr>
        <w:jc w:val="both"/>
        <w:rPr>
          <w:sz w:val="20"/>
          <w:szCs w:val="20"/>
        </w:rPr>
      </w:pPr>
    </w:p>
    <w:p w:rsidR="00FD1ECC" w:rsidRDefault="00FD1ECC">
      <w:pPr>
        <w:sectPr w:rsidR="00FD1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ECC" w:rsidRPr="00AD3627" w:rsidRDefault="00FD1ECC" w:rsidP="00FD1ECC">
      <w:pPr>
        <w:jc w:val="both"/>
      </w:pPr>
    </w:p>
    <w:p w:rsidR="00FD1ECC" w:rsidRDefault="00FD1ECC"/>
    <w:p w:rsidR="00FD1ECC" w:rsidRDefault="00FD1ECC"/>
    <w:p w:rsidR="00FD1ECC" w:rsidRDefault="00FD1ECC"/>
    <w:p w:rsidR="00FD1ECC" w:rsidRDefault="00FD1ECC"/>
    <w:p w:rsidR="00FD1ECC" w:rsidRDefault="00FD1ECC"/>
    <w:p w:rsidR="00FD1ECC" w:rsidRDefault="00FD1ECC"/>
    <w:sectPr w:rsidR="00FD1ECC" w:rsidSect="00FD1E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74C"/>
    <w:multiLevelType w:val="hybridMultilevel"/>
    <w:tmpl w:val="9F6206AA"/>
    <w:lvl w:ilvl="0" w:tplc="08BA1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35434"/>
    <w:multiLevelType w:val="hybridMultilevel"/>
    <w:tmpl w:val="9F6206AA"/>
    <w:lvl w:ilvl="0" w:tplc="08BA1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B"/>
    <w:rsid w:val="0025659E"/>
    <w:rsid w:val="00262CEB"/>
    <w:rsid w:val="00432999"/>
    <w:rsid w:val="004D7942"/>
    <w:rsid w:val="008C1228"/>
    <w:rsid w:val="00916CE6"/>
    <w:rsid w:val="00C226A6"/>
    <w:rsid w:val="00DF34E0"/>
    <w:rsid w:val="00E61EEE"/>
    <w:rsid w:val="00F7329E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8748-86C2-45B7-B61E-D6B4C0A0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2CEB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CE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262CE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62CE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FD1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2021-02-03T10:46:00Z</cp:lastPrinted>
  <dcterms:created xsi:type="dcterms:W3CDTF">2021-02-03T06:12:00Z</dcterms:created>
  <dcterms:modified xsi:type="dcterms:W3CDTF">2021-02-03T10:47:00Z</dcterms:modified>
</cp:coreProperties>
</file>