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1012FE">
        <w:tc>
          <w:tcPr>
            <w:tcW w:w="3686" w:type="dxa"/>
          </w:tcPr>
          <w:p w:rsidR="001012FE" w:rsidRDefault="001012FE">
            <w:pPr>
              <w:pStyle w:val="3"/>
              <w:spacing w:before="240" w:after="120"/>
              <w:ind w:left="-108"/>
              <w:rPr>
                <w:spacing w:val="40"/>
                <w:sz w:val="21"/>
                <w:szCs w:val="21"/>
              </w:rPr>
            </w:pPr>
            <w:r>
              <w:rPr>
                <w:spacing w:val="40"/>
                <w:sz w:val="21"/>
                <w:szCs w:val="21"/>
              </w:rPr>
              <w:t>Чувашская Республика</w:t>
            </w:r>
          </w:p>
          <w:p w:rsidR="001012FE" w:rsidRDefault="001012FE">
            <w:pPr>
              <w:pStyle w:val="3"/>
              <w:ind w:left="-108"/>
              <w:rPr>
                <w:spacing w:val="40"/>
                <w:sz w:val="21"/>
                <w:szCs w:val="21"/>
              </w:rPr>
            </w:pPr>
            <w:r>
              <w:rPr>
                <w:spacing w:val="40"/>
                <w:sz w:val="21"/>
                <w:szCs w:val="21"/>
              </w:rPr>
              <w:t>Чебоксарское городское</w:t>
            </w:r>
          </w:p>
          <w:p w:rsidR="001012FE" w:rsidRDefault="001012FE">
            <w:pPr>
              <w:pStyle w:val="3"/>
              <w:ind w:left="-108"/>
              <w:rPr>
                <w:b w:val="0"/>
                <w:sz w:val="21"/>
                <w:szCs w:val="21"/>
              </w:rPr>
            </w:pPr>
            <w:r>
              <w:rPr>
                <w:spacing w:val="40"/>
                <w:sz w:val="21"/>
                <w:szCs w:val="21"/>
              </w:rPr>
              <w:t>Собрание депутатов</w:t>
            </w:r>
          </w:p>
        </w:tc>
        <w:tc>
          <w:tcPr>
            <w:tcW w:w="1984" w:type="dxa"/>
          </w:tcPr>
          <w:p w:rsidR="001012FE" w:rsidRDefault="001012FE">
            <w:pPr>
              <w:spacing w:after="120"/>
              <w:ind w:left="33" w:right="-10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object w:dxaOrig="1006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o:ole="" fillcolor="window">
                  <v:imagedata r:id="rId6" o:title=""/>
                </v:shape>
                <o:OLEObject Type="Embed" ProgID="Word.Picture.8" ShapeID="_x0000_i1025" DrawAspect="Content" ObjectID="_1643523685" r:id="rId7"/>
              </w:object>
            </w:r>
          </w:p>
        </w:tc>
        <w:tc>
          <w:tcPr>
            <w:tcW w:w="3686" w:type="dxa"/>
          </w:tcPr>
          <w:p w:rsidR="001012FE" w:rsidRDefault="001012FE">
            <w:pPr>
              <w:pStyle w:val="3"/>
              <w:tabs>
                <w:tab w:val="left" w:pos="3719"/>
              </w:tabs>
              <w:spacing w:before="240" w:after="120"/>
              <w:ind w:left="-108" w:right="-108"/>
              <w:rPr>
                <w:rFonts w:ascii="Baltica Chv" w:hAnsi="Baltica Chv"/>
                <w:spacing w:val="40"/>
                <w:sz w:val="21"/>
                <w:szCs w:val="21"/>
              </w:rPr>
            </w:pPr>
            <w:r>
              <w:rPr>
                <w:rFonts w:ascii="Baltica Chv" w:hAnsi="Baltica Chv"/>
                <w:spacing w:val="40"/>
                <w:sz w:val="21"/>
                <w:szCs w:val="21"/>
              </w:rPr>
              <w:t>Ч=ваш Республики</w:t>
            </w:r>
          </w:p>
          <w:p w:rsidR="001012FE" w:rsidRDefault="001012FE">
            <w:pPr>
              <w:pStyle w:val="3"/>
              <w:tabs>
                <w:tab w:val="left" w:pos="3719"/>
              </w:tabs>
              <w:ind w:left="-108" w:right="-108"/>
              <w:rPr>
                <w:rFonts w:ascii="Baltica Chv" w:hAnsi="Baltica Chv"/>
                <w:spacing w:val="40"/>
                <w:sz w:val="21"/>
                <w:szCs w:val="21"/>
              </w:rPr>
            </w:pPr>
            <w:r>
              <w:rPr>
                <w:rFonts w:ascii="Baltica Chv" w:hAnsi="Baltica Chv"/>
                <w:spacing w:val="40"/>
                <w:sz w:val="21"/>
                <w:szCs w:val="21"/>
              </w:rPr>
              <w:t>Шупашкар хулин</w:t>
            </w:r>
          </w:p>
          <w:p w:rsidR="001012FE" w:rsidRDefault="001012FE">
            <w:pPr>
              <w:pStyle w:val="3"/>
              <w:tabs>
                <w:tab w:val="left" w:pos="3719"/>
              </w:tabs>
              <w:ind w:left="-108" w:right="-108"/>
              <w:rPr>
                <w:rFonts w:ascii="Baltica Chv" w:hAnsi="Baltica Chv"/>
                <w:spacing w:val="40"/>
                <w:sz w:val="21"/>
                <w:szCs w:val="21"/>
              </w:rPr>
            </w:pPr>
            <w:r>
              <w:rPr>
                <w:rFonts w:ascii="Baltica Chv" w:hAnsi="Baltica Chv"/>
                <w:spacing w:val="40"/>
                <w:sz w:val="21"/>
                <w:szCs w:val="21"/>
              </w:rPr>
              <w:t xml:space="preserve">депутатсен </w:t>
            </w:r>
            <w:proofErr w:type="gramStart"/>
            <w:r>
              <w:rPr>
                <w:rFonts w:ascii="Baltica Chv" w:hAnsi="Baltica Chv"/>
                <w:spacing w:val="40"/>
                <w:sz w:val="21"/>
                <w:szCs w:val="21"/>
              </w:rPr>
              <w:t>Пух</w:t>
            </w:r>
            <w:proofErr w:type="gramEnd"/>
            <w:r>
              <w:rPr>
                <w:rFonts w:ascii="Baltica Chv" w:hAnsi="Baltica Chv"/>
                <w:spacing w:val="40"/>
                <w:sz w:val="21"/>
                <w:szCs w:val="21"/>
              </w:rPr>
              <w:t>=в\</w:t>
            </w:r>
          </w:p>
          <w:p w:rsidR="001012FE" w:rsidRDefault="001012FE">
            <w:pPr>
              <w:ind w:right="469"/>
              <w:jc w:val="center"/>
              <w:rPr>
                <w:sz w:val="21"/>
                <w:szCs w:val="21"/>
              </w:rPr>
            </w:pPr>
          </w:p>
        </w:tc>
      </w:tr>
      <w:tr w:rsidR="001012FE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1012FE" w:rsidRDefault="001012FE">
            <w:pPr>
              <w:pStyle w:val="4"/>
              <w:ind w:left="-108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</w:t>
            </w:r>
            <w:r>
              <w:rPr>
                <w:rFonts w:ascii="Times New Roman" w:hAnsi="Times New Roman"/>
                <w:sz w:val="23"/>
                <w:szCs w:val="23"/>
              </w:rPr>
              <w:t>ая</w:t>
            </w:r>
            <w:r>
              <w:rPr>
                <w:sz w:val="23"/>
                <w:szCs w:val="23"/>
              </w:rPr>
              <w:t xml:space="preserve"> ПАЛАТ</w:t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ГОРОДА ЧЕБОКСАРЫ </w:t>
            </w:r>
          </w:p>
        </w:tc>
      </w:tr>
      <w:tr w:rsidR="001012FE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012FE" w:rsidRDefault="001012FE">
            <w:pPr>
              <w:spacing w:before="60"/>
              <w:ind w:left="-96" w:right="-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428000, Чувашская Республика, г.Чебоксары, ул. К. Маркса, 36</w:t>
            </w:r>
          </w:p>
          <w:p w:rsidR="001012FE" w:rsidRDefault="001012FE">
            <w:pPr>
              <w:ind w:left="-96"/>
              <w:jc w:val="center"/>
              <w:rPr>
                <w:b/>
                <w:caps/>
                <w:sz w:val="27"/>
                <w:szCs w:val="27"/>
              </w:rPr>
            </w:pPr>
            <w:r>
              <w:rPr>
                <w:sz w:val="15"/>
                <w:szCs w:val="15"/>
              </w:rPr>
              <w:t xml:space="preserve">тел. (8352) 23-51-72, 23-51-73,  </w:t>
            </w:r>
            <w:r>
              <w:rPr>
                <w:sz w:val="15"/>
                <w:szCs w:val="15"/>
                <w:lang w:val="en-US"/>
              </w:rPr>
              <w:t>E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mail</w:t>
            </w:r>
            <w:r>
              <w:rPr>
                <w:sz w:val="15"/>
                <w:szCs w:val="15"/>
              </w:rPr>
              <w:t xml:space="preserve">: </w:t>
            </w:r>
            <w:hyperlink r:id="rId8" w:history="1">
              <w:r>
                <w:rPr>
                  <w:rStyle w:val="a5"/>
                  <w:sz w:val="15"/>
                  <w:szCs w:val="15"/>
                  <w:lang w:val="en-US"/>
                </w:rPr>
                <w:t>ksp</w:t>
              </w:r>
              <w:r>
                <w:rPr>
                  <w:rStyle w:val="a5"/>
                  <w:sz w:val="15"/>
                  <w:szCs w:val="15"/>
                </w:rPr>
                <w:t>@</w:t>
              </w:r>
              <w:r>
                <w:rPr>
                  <w:rStyle w:val="a5"/>
                  <w:sz w:val="15"/>
                  <w:szCs w:val="15"/>
                  <w:lang w:val="en-US"/>
                </w:rPr>
                <w:t>gcheb</w:t>
              </w:r>
              <w:r>
                <w:rPr>
                  <w:rStyle w:val="a5"/>
                  <w:sz w:val="15"/>
                  <w:szCs w:val="15"/>
                </w:rPr>
                <w:t>.</w:t>
              </w:r>
              <w:r>
                <w:rPr>
                  <w:rStyle w:val="a5"/>
                  <w:sz w:val="15"/>
                  <w:szCs w:val="15"/>
                  <w:lang w:val="en-US"/>
                </w:rPr>
                <w:t>cap</w:t>
              </w:r>
              <w:r>
                <w:rPr>
                  <w:rStyle w:val="a5"/>
                  <w:sz w:val="15"/>
                  <w:szCs w:val="15"/>
                </w:rPr>
                <w:t>.</w:t>
              </w:r>
              <w:r>
                <w:rPr>
                  <w:rStyle w:val="a5"/>
                  <w:sz w:val="15"/>
                  <w:szCs w:val="15"/>
                  <w:lang w:val="en-US"/>
                </w:rPr>
                <w:t>ru</w:t>
              </w:r>
            </w:hyperlink>
            <w:r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  <w:lang w:val="en-US"/>
              </w:rPr>
              <w:t>sd</w:t>
            </w:r>
            <w:r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  <w:lang w:val="en-US"/>
              </w:rPr>
              <w:t>ksp</w:t>
            </w:r>
            <w:r>
              <w:rPr>
                <w:sz w:val="15"/>
                <w:szCs w:val="15"/>
              </w:rPr>
              <w:t>@</w:t>
            </w:r>
            <w:r>
              <w:rPr>
                <w:sz w:val="15"/>
                <w:szCs w:val="15"/>
                <w:lang w:val="en-US"/>
              </w:rPr>
              <w:t>gcheb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cap</w:t>
            </w: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  <w:lang w:val="en-US"/>
              </w:rPr>
              <w:t>ru</w:t>
            </w:r>
          </w:p>
        </w:tc>
      </w:tr>
      <w:tr w:rsidR="001012FE">
        <w:tc>
          <w:tcPr>
            <w:tcW w:w="5670" w:type="dxa"/>
            <w:gridSpan w:val="2"/>
            <w:tcBorders>
              <w:top w:val="thickThinSmallGap" w:sz="18" w:space="0" w:color="auto"/>
            </w:tcBorders>
          </w:tcPr>
          <w:p w:rsidR="001012FE" w:rsidRDefault="001012FE" w:rsidP="00647C83">
            <w:pPr>
              <w:ind w:left="-96" w:right="-102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thickThinSmallGap" w:sz="18" w:space="0" w:color="auto"/>
            </w:tcBorders>
          </w:tcPr>
          <w:p w:rsidR="001012FE" w:rsidRPr="00CC1C68" w:rsidRDefault="001012FE">
            <w:pPr>
              <w:ind w:left="-113" w:right="-85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1AEB" w:rsidRPr="00837DA8" w:rsidRDefault="00711AEB" w:rsidP="00A534A4">
      <w:pPr>
        <w:pStyle w:val="11"/>
        <w:widowControl w:val="0"/>
        <w:jc w:val="center"/>
        <w:rPr>
          <w:b/>
          <w:snapToGrid w:val="0"/>
          <w:sz w:val="28"/>
          <w:szCs w:val="28"/>
          <w:lang w:val="en-US"/>
        </w:rPr>
      </w:pPr>
    </w:p>
    <w:p w:rsidR="001012FE" w:rsidRPr="00837DA8" w:rsidRDefault="001012FE" w:rsidP="00A534A4">
      <w:pPr>
        <w:pStyle w:val="11"/>
        <w:widowControl w:val="0"/>
        <w:jc w:val="center"/>
        <w:rPr>
          <w:b/>
          <w:snapToGrid w:val="0"/>
          <w:sz w:val="28"/>
          <w:szCs w:val="28"/>
        </w:rPr>
      </w:pPr>
      <w:r w:rsidRPr="00837DA8">
        <w:rPr>
          <w:b/>
          <w:snapToGrid w:val="0"/>
          <w:sz w:val="28"/>
          <w:szCs w:val="28"/>
        </w:rPr>
        <w:t>ОТЧЕТ</w:t>
      </w:r>
    </w:p>
    <w:p w:rsidR="00412EA7" w:rsidRPr="00837DA8" w:rsidRDefault="008B58A1" w:rsidP="00684F51">
      <w:pPr>
        <w:pStyle w:val="31"/>
        <w:spacing w:after="0"/>
        <w:jc w:val="center"/>
        <w:rPr>
          <w:bCs/>
          <w:snapToGrid w:val="0"/>
          <w:sz w:val="28"/>
          <w:szCs w:val="28"/>
        </w:rPr>
      </w:pPr>
      <w:r w:rsidRPr="00837DA8">
        <w:rPr>
          <w:bCs/>
          <w:snapToGrid w:val="0"/>
          <w:sz w:val="28"/>
          <w:szCs w:val="28"/>
        </w:rPr>
        <w:t xml:space="preserve">о результатах </w:t>
      </w:r>
      <w:r w:rsidR="00412EA7" w:rsidRPr="00837DA8">
        <w:rPr>
          <w:bCs/>
          <w:snapToGrid w:val="0"/>
          <w:sz w:val="28"/>
          <w:szCs w:val="28"/>
        </w:rPr>
        <w:t xml:space="preserve">экспертно-аналитического мероприятия </w:t>
      </w:r>
    </w:p>
    <w:p w:rsidR="003F595A" w:rsidRPr="00837DA8" w:rsidRDefault="00412EA7" w:rsidP="00684F51">
      <w:pPr>
        <w:pStyle w:val="31"/>
        <w:spacing w:after="0"/>
        <w:jc w:val="center"/>
        <w:rPr>
          <w:bCs/>
          <w:snapToGrid w:val="0"/>
          <w:sz w:val="28"/>
          <w:szCs w:val="28"/>
        </w:rPr>
      </w:pPr>
      <w:r w:rsidRPr="00837DA8">
        <w:rPr>
          <w:bCs/>
          <w:snapToGrid w:val="0"/>
          <w:sz w:val="28"/>
          <w:szCs w:val="28"/>
        </w:rPr>
        <w:t xml:space="preserve">«Анализ использования муниципального имущества, сдаваемого в аренду </w:t>
      </w:r>
      <w:r w:rsidR="00837DA8" w:rsidRPr="00837DA8">
        <w:rPr>
          <w:bCs/>
          <w:snapToGrid w:val="0"/>
          <w:sz w:val="28"/>
          <w:szCs w:val="28"/>
        </w:rPr>
        <w:t>учреждениями культуры</w:t>
      </w:r>
      <w:r w:rsidRPr="00837DA8">
        <w:rPr>
          <w:bCs/>
          <w:snapToGrid w:val="0"/>
          <w:sz w:val="28"/>
          <w:szCs w:val="28"/>
        </w:rPr>
        <w:t xml:space="preserve"> города Чебоксары» </w:t>
      </w:r>
    </w:p>
    <w:p w:rsidR="00711AEB" w:rsidRPr="00837DA8" w:rsidRDefault="003F595A" w:rsidP="00684F51">
      <w:pPr>
        <w:pStyle w:val="31"/>
        <w:spacing w:after="0"/>
        <w:jc w:val="center"/>
        <w:rPr>
          <w:bCs/>
          <w:snapToGrid w:val="0"/>
          <w:sz w:val="28"/>
          <w:szCs w:val="28"/>
        </w:rPr>
      </w:pPr>
      <w:r w:rsidRPr="00837DA8">
        <w:rPr>
          <w:bCs/>
          <w:snapToGrid w:val="0"/>
          <w:sz w:val="28"/>
          <w:szCs w:val="28"/>
        </w:rPr>
        <w:t xml:space="preserve">в </w:t>
      </w:r>
      <w:r w:rsidR="0041017D" w:rsidRPr="00837DA8">
        <w:rPr>
          <w:bCs/>
          <w:sz w:val="28"/>
          <w:szCs w:val="28"/>
        </w:rPr>
        <w:t>201</w:t>
      </w:r>
      <w:r w:rsidR="00837DA8" w:rsidRPr="00837DA8">
        <w:rPr>
          <w:bCs/>
          <w:sz w:val="28"/>
          <w:szCs w:val="28"/>
        </w:rPr>
        <w:t>7</w:t>
      </w:r>
      <w:r w:rsidR="0041017D" w:rsidRPr="00837DA8">
        <w:rPr>
          <w:bCs/>
          <w:sz w:val="28"/>
          <w:szCs w:val="28"/>
        </w:rPr>
        <w:t>-201</w:t>
      </w:r>
      <w:r w:rsidR="00837DA8" w:rsidRPr="00837DA8">
        <w:rPr>
          <w:bCs/>
          <w:sz w:val="28"/>
          <w:szCs w:val="28"/>
        </w:rPr>
        <w:t>8</w:t>
      </w:r>
      <w:r w:rsidR="0041017D" w:rsidRPr="00837DA8">
        <w:rPr>
          <w:bCs/>
          <w:sz w:val="28"/>
          <w:szCs w:val="28"/>
        </w:rPr>
        <w:t xml:space="preserve"> года</w:t>
      </w:r>
      <w:r w:rsidRPr="00837DA8">
        <w:rPr>
          <w:bCs/>
          <w:sz w:val="28"/>
          <w:szCs w:val="28"/>
        </w:rPr>
        <w:t>х</w:t>
      </w:r>
      <w:r w:rsidR="0041017D" w:rsidRPr="00837DA8">
        <w:rPr>
          <w:bCs/>
          <w:sz w:val="28"/>
          <w:szCs w:val="28"/>
        </w:rPr>
        <w:t xml:space="preserve"> и истекш</w:t>
      </w:r>
      <w:r w:rsidRPr="00837DA8">
        <w:rPr>
          <w:bCs/>
          <w:sz w:val="28"/>
          <w:szCs w:val="28"/>
        </w:rPr>
        <w:t>ем</w:t>
      </w:r>
      <w:r w:rsidR="0041017D" w:rsidRPr="00837DA8">
        <w:rPr>
          <w:bCs/>
          <w:sz w:val="28"/>
          <w:szCs w:val="28"/>
        </w:rPr>
        <w:t xml:space="preserve"> период</w:t>
      </w:r>
      <w:r w:rsidRPr="00837DA8">
        <w:rPr>
          <w:bCs/>
          <w:sz w:val="28"/>
          <w:szCs w:val="28"/>
        </w:rPr>
        <w:t>е</w:t>
      </w:r>
      <w:r w:rsidR="0041017D" w:rsidRPr="00837DA8">
        <w:rPr>
          <w:bCs/>
          <w:sz w:val="28"/>
          <w:szCs w:val="28"/>
        </w:rPr>
        <w:t xml:space="preserve"> 201</w:t>
      </w:r>
      <w:r w:rsidR="00837DA8" w:rsidRPr="00837DA8">
        <w:rPr>
          <w:bCs/>
          <w:sz w:val="28"/>
          <w:szCs w:val="28"/>
        </w:rPr>
        <w:t>9</w:t>
      </w:r>
      <w:r w:rsidR="0041017D" w:rsidRPr="00837DA8">
        <w:rPr>
          <w:bCs/>
          <w:sz w:val="28"/>
          <w:szCs w:val="28"/>
        </w:rPr>
        <w:t xml:space="preserve"> года</w:t>
      </w:r>
    </w:p>
    <w:p w:rsidR="00412EA7" w:rsidRPr="00837DA8" w:rsidRDefault="00412EA7" w:rsidP="00684F51">
      <w:pPr>
        <w:pStyle w:val="31"/>
        <w:spacing w:after="0"/>
        <w:jc w:val="center"/>
        <w:rPr>
          <w:sz w:val="28"/>
          <w:szCs w:val="28"/>
        </w:rPr>
      </w:pPr>
    </w:p>
    <w:p w:rsidR="00412EA7" w:rsidRPr="00837DA8" w:rsidRDefault="00412EA7" w:rsidP="00412E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7DA8">
        <w:rPr>
          <w:b/>
          <w:bCs/>
          <w:sz w:val="28"/>
          <w:szCs w:val="28"/>
        </w:rPr>
        <w:t xml:space="preserve">Основание для проведения мероприятия: </w:t>
      </w:r>
      <w:r w:rsidRPr="00837DA8">
        <w:rPr>
          <w:bCs/>
          <w:sz w:val="28"/>
          <w:szCs w:val="28"/>
        </w:rPr>
        <w:t>план работы Совета контрольно-счетных органов Чувашской Республики на 201</w:t>
      </w:r>
      <w:r w:rsidR="00837DA8" w:rsidRPr="00837DA8">
        <w:rPr>
          <w:bCs/>
          <w:sz w:val="28"/>
          <w:szCs w:val="28"/>
        </w:rPr>
        <w:t>9</w:t>
      </w:r>
      <w:r w:rsidRPr="00837DA8">
        <w:rPr>
          <w:bCs/>
          <w:sz w:val="28"/>
          <w:szCs w:val="28"/>
        </w:rPr>
        <w:t xml:space="preserve"> год.</w:t>
      </w:r>
    </w:p>
    <w:p w:rsidR="003113EB" w:rsidRPr="00837DA8" w:rsidRDefault="00A534A4" w:rsidP="00412E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A8">
        <w:rPr>
          <w:b/>
          <w:bCs/>
          <w:sz w:val="28"/>
          <w:szCs w:val="28"/>
        </w:rPr>
        <w:t xml:space="preserve">Цель </w:t>
      </w:r>
      <w:r w:rsidR="0041017D" w:rsidRPr="00837DA8">
        <w:rPr>
          <w:b/>
          <w:bCs/>
          <w:sz w:val="28"/>
          <w:szCs w:val="28"/>
        </w:rPr>
        <w:t>проведения мероприятия</w:t>
      </w:r>
      <w:r w:rsidRPr="00837DA8">
        <w:rPr>
          <w:b/>
          <w:bCs/>
          <w:sz w:val="28"/>
          <w:szCs w:val="28"/>
        </w:rPr>
        <w:t xml:space="preserve">: </w:t>
      </w:r>
      <w:r w:rsidRPr="00837DA8">
        <w:rPr>
          <w:sz w:val="28"/>
          <w:szCs w:val="28"/>
        </w:rPr>
        <w:t>оценка законности и эффективности использования</w:t>
      </w:r>
      <w:r w:rsidR="00F86876" w:rsidRPr="00837DA8">
        <w:rPr>
          <w:sz w:val="28"/>
          <w:szCs w:val="28"/>
        </w:rPr>
        <w:t xml:space="preserve"> </w:t>
      </w:r>
      <w:r w:rsidR="00412EA7" w:rsidRPr="00837DA8">
        <w:rPr>
          <w:sz w:val="28"/>
          <w:szCs w:val="28"/>
        </w:rPr>
        <w:t xml:space="preserve">муниципального имущества, закрепленного за учреждениями </w:t>
      </w:r>
      <w:r w:rsidR="00837DA8" w:rsidRPr="00837DA8">
        <w:rPr>
          <w:sz w:val="28"/>
          <w:szCs w:val="28"/>
        </w:rPr>
        <w:t xml:space="preserve">культуры </w:t>
      </w:r>
      <w:r w:rsidR="00412EA7" w:rsidRPr="00837DA8">
        <w:rPr>
          <w:sz w:val="28"/>
          <w:szCs w:val="28"/>
        </w:rPr>
        <w:t>города Чебоксары</w:t>
      </w:r>
      <w:r w:rsidR="0041017D" w:rsidRPr="00837DA8">
        <w:rPr>
          <w:sz w:val="28"/>
          <w:szCs w:val="28"/>
        </w:rPr>
        <w:t>.</w:t>
      </w:r>
    </w:p>
    <w:p w:rsidR="00A534A4" w:rsidRPr="00837DA8" w:rsidRDefault="00A534A4" w:rsidP="00412E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DA8">
        <w:rPr>
          <w:b/>
          <w:bCs/>
          <w:sz w:val="28"/>
          <w:szCs w:val="28"/>
        </w:rPr>
        <w:t xml:space="preserve">Задача </w:t>
      </w:r>
      <w:r w:rsidR="0041017D" w:rsidRPr="00837DA8">
        <w:rPr>
          <w:b/>
          <w:bCs/>
          <w:sz w:val="28"/>
          <w:szCs w:val="28"/>
        </w:rPr>
        <w:t>проведения мероприятия</w:t>
      </w:r>
      <w:r w:rsidRPr="00837DA8">
        <w:rPr>
          <w:sz w:val="28"/>
          <w:szCs w:val="28"/>
        </w:rPr>
        <w:t xml:space="preserve">: </w:t>
      </w:r>
      <w:r w:rsidRPr="00837DA8">
        <w:rPr>
          <w:rFonts w:eastAsia="Calibri"/>
          <w:sz w:val="28"/>
          <w:szCs w:val="28"/>
          <w:lang w:eastAsia="en-US"/>
        </w:rPr>
        <w:t xml:space="preserve">проверка </w:t>
      </w:r>
      <w:r w:rsidRPr="00837DA8">
        <w:rPr>
          <w:sz w:val="28"/>
          <w:szCs w:val="28"/>
        </w:rPr>
        <w:t xml:space="preserve">законности, эффективности и целевого использования </w:t>
      </w:r>
      <w:r w:rsidR="00412EA7" w:rsidRPr="00837DA8">
        <w:rPr>
          <w:sz w:val="28"/>
          <w:szCs w:val="28"/>
        </w:rPr>
        <w:t>муниципального имущества</w:t>
      </w:r>
      <w:r w:rsidRPr="00837DA8">
        <w:rPr>
          <w:sz w:val="28"/>
          <w:szCs w:val="28"/>
        </w:rPr>
        <w:t>.</w:t>
      </w:r>
    </w:p>
    <w:p w:rsidR="00412EA7" w:rsidRPr="00837DA8" w:rsidRDefault="00412EA7" w:rsidP="00412EA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12EA7" w:rsidRPr="0041017D" w:rsidRDefault="00412EA7" w:rsidP="00412E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17D">
        <w:rPr>
          <w:bCs/>
          <w:sz w:val="28"/>
          <w:szCs w:val="28"/>
        </w:rPr>
        <w:t>В соответствии со статьей 61 Устава муниципального образования города Чебоксары – столицы Чувашской Республики о</w:t>
      </w:r>
      <w:r w:rsidRPr="0041017D">
        <w:rPr>
          <w:sz w:val="28"/>
          <w:szCs w:val="28"/>
        </w:rPr>
        <w:t>рганы местного самоуправления города Чебоксары от имени города Чебоксары самостоятельно владеют, пользуются и распоряжаются муниципальным имуществом города Чебоксары в соответствии с действующим законодательством.</w:t>
      </w:r>
    </w:p>
    <w:p w:rsidR="00412EA7" w:rsidRPr="00692773" w:rsidRDefault="00412EA7" w:rsidP="00412E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102"/>
      <w:r w:rsidRPr="0041017D">
        <w:rPr>
          <w:sz w:val="28"/>
          <w:szCs w:val="28"/>
        </w:rPr>
        <w:t>Органы местного самоуправления города Чебоксары</w:t>
      </w:r>
      <w:r w:rsidRPr="00692773">
        <w:rPr>
          <w:sz w:val="28"/>
          <w:szCs w:val="28"/>
        </w:rPr>
        <w:t xml:space="preserve"> вправе передавать муниципальное имущество города Чебоксары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bookmarkEnd w:id="1"/>
    <w:p w:rsidR="0041017D" w:rsidRDefault="0041017D" w:rsidP="00412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</w:t>
      </w:r>
      <w:r w:rsidR="003F595A">
        <w:rPr>
          <w:sz w:val="28"/>
          <w:szCs w:val="28"/>
        </w:rPr>
        <w:t xml:space="preserve"> экспертно-аналитического мероприятия </w:t>
      </w:r>
      <w:r>
        <w:rPr>
          <w:sz w:val="28"/>
          <w:szCs w:val="28"/>
        </w:rPr>
        <w:t xml:space="preserve">муниципальное имущество передано </w:t>
      </w:r>
      <w:r w:rsidR="009C0806">
        <w:rPr>
          <w:sz w:val="28"/>
          <w:szCs w:val="28"/>
        </w:rPr>
        <w:t>учреждениям культуры</w:t>
      </w:r>
      <w:r w:rsidR="003F595A">
        <w:rPr>
          <w:sz w:val="28"/>
          <w:szCs w:val="28"/>
        </w:rPr>
        <w:t xml:space="preserve"> города Чебоксары </w:t>
      </w:r>
      <w:r>
        <w:rPr>
          <w:sz w:val="28"/>
          <w:szCs w:val="28"/>
        </w:rPr>
        <w:t xml:space="preserve">в </w:t>
      </w:r>
      <w:r w:rsidR="009C0806">
        <w:rPr>
          <w:sz w:val="28"/>
          <w:szCs w:val="28"/>
        </w:rPr>
        <w:t>оперативное управление</w:t>
      </w:r>
      <w:r>
        <w:rPr>
          <w:sz w:val="28"/>
          <w:szCs w:val="28"/>
        </w:rPr>
        <w:t xml:space="preserve"> на основании соответствующего постановления администрации города Чебоксары.</w:t>
      </w:r>
    </w:p>
    <w:p w:rsidR="00412EA7" w:rsidRDefault="00412EA7" w:rsidP="00412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Чебоксарского городского Собрания депутатов от 25.11.2010       № 42 утверждено Положение о порядке аренды нежилых помещений муниципальной собственности города Чебоксары (далее – Положение о порядке аренды).</w:t>
      </w:r>
    </w:p>
    <w:p w:rsidR="009C0806" w:rsidRPr="009C0806" w:rsidRDefault="00412EA7" w:rsidP="009C08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450">
        <w:rPr>
          <w:bCs/>
          <w:sz w:val="28"/>
          <w:szCs w:val="28"/>
        </w:rPr>
        <w:lastRenderedPageBreak/>
        <w:t>Положение</w:t>
      </w:r>
      <w:r w:rsidR="0041017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о порядке аренды</w:t>
      </w:r>
      <w:r w:rsidRPr="00C21450">
        <w:rPr>
          <w:bCs/>
          <w:sz w:val="28"/>
          <w:szCs w:val="28"/>
        </w:rPr>
        <w:t xml:space="preserve"> </w:t>
      </w:r>
      <w:r w:rsidR="003F595A">
        <w:rPr>
          <w:bCs/>
          <w:sz w:val="28"/>
          <w:szCs w:val="28"/>
        </w:rPr>
        <w:t xml:space="preserve">установлено, что </w:t>
      </w:r>
      <w:r w:rsidR="003F595A" w:rsidRPr="003F595A">
        <w:rPr>
          <w:bCs/>
          <w:sz w:val="28"/>
          <w:szCs w:val="28"/>
        </w:rPr>
        <w:t xml:space="preserve">в отношении муниципальных нежилых помещений, </w:t>
      </w:r>
      <w:bookmarkStart w:id="2" w:name="sub_1104"/>
      <w:r w:rsidR="009C0806" w:rsidRPr="009C0806">
        <w:rPr>
          <w:sz w:val="28"/>
          <w:szCs w:val="28"/>
        </w:rPr>
        <w:t>находящихся в хозяйственном ведении или оперативном управлении муниципальных унитарных предприятий, а также в оперативном управлении муниципальных казенных, бюджетных, автономных учреждений договор аренды заключает предприятие (учреждение).</w:t>
      </w:r>
    </w:p>
    <w:bookmarkEnd w:id="2"/>
    <w:p w:rsidR="009C0806" w:rsidRPr="009C0806" w:rsidRDefault="009C0806" w:rsidP="00412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0806">
        <w:rPr>
          <w:bCs/>
          <w:sz w:val="28"/>
          <w:szCs w:val="28"/>
        </w:rPr>
        <w:t xml:space="preserve">Денежные средства, получаемые от аренды нежилых помещений, находящихся в оперативном управлении муниципальных бюджетных и автономных учреждений </w:t>
      </w:r>
      <w:r>
        <w:rPr>
          <w:bCs/>
          <w:sz w:val="28"/>
          <w:szCs w:val="28"/>
        </w:rPr>
        <w:t>поступают</w:t>
      </w:r>
      <w:r w:rsidRPr="009C0806">
        <w:rPr>
          <w:bCs/>
          <w:sz w:val="28"/>
          <w:szCs w:val="28"/>
        </w:rPr>
        <w:t xml:space="preserve"> на расчетный (лицевой) счет предприятия (учреждения)</w:t>
      </w:r>
      <w:r>
        <w:rPr>
          <w:bCs/>
          <w:sz w:val="28"/>
          <w:szCs w:val="28"/>
        </w:rPr>
        <w:t xml:space="preserve"> в полном объеме</w:t>
      </w:r>
      <w:r w:rsidRPr="009C0806">
        <w:rPr>
          <w:bCs/>
          <w:sz w:val="28"/>
          <w:szCs w:val="28"/>
        </w:rPr>
        <w:t>.</w:t>
      </w:r>
    </w:p>
    <w:p w:rsidR="00412EA7" w:rsidRPr="00C21450" w:rsidRDefault="00412EA7" w:rsidP="00412E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50">
        <w:rPr>
          <w:sz w:val="28"/>
          <w:szCs w:val="28"/>
        </w:rPr>
        <w:t>Предоставление в аренду нежилых помещений осуществляется по результатам проведения торгов (конкурсов или аукционов), путем предоставления преференции в порядке, установленном антимонопольным законодательством, иным способом, предусмотренным законодательством Российской Федерации, и на основании вступившего в законную силу решения суда.</w:t>
      </w:r>
    </w:p>
    <w:p w:rsidR="00412EA7" w:rsidRDefault="00412EA7" w:rsidP="00412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Чебоксарского городского Собрания депутатов от 11.07.2006      № 260 утверждено Положение о порядке организации и проведения торгов по продаже права аренды муниципального имущества города Чебоксары, которое </w:t>
      </w:r>
      <w:r w:rsidRPr="00697CC6">
        <w:rPr>
          <w:bCs/>
          <w:sz w:val="28"/>
          <w:szCs w:val="28"/>
        </w:rPr>
        <w:t>устанавливает правила организации и проведения торгов по продаже права аренды имущества, находящегося в муниципальной собственности города Чебоксары.</w:t>
      </w:r>
    </w:p>
    <w:p w:rsidR="00412EA7" w:rsidRDefault="00412EA7" w:rsidP="00412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Передача в аренду муниципального имущества, закрепленного за учреждениями</w:t>
      </w:r>
      <w:r w:rsidR="009C0806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 города Чебоксары в проверяемом периоде осуществлялась в соответствии с нормами законодательства в области распоряжения муниципальным имуществом на основании экспертной оценки последствий договора аренды такого имущества и с согласия собственника имущества в лице Чебоксарского городского комитета по управлению имуществом.</w:t>
      </w:r>
    </w:p>
    <w:p w:rsidR="00412EA7" w:rsidRDefault="00412EA7" w:rsidP="00412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арендной платы устанавливался по результатам оценки рыночной стоимости арендной платы, проводимой Чебоксарским городским комитетом по управлению имуществом. Возмещение расходов за проведение оценки рыночной стоимости арендной платы осуществлялось арендаторами в соответствии с условиями договора аренды.</w:t>
      </w:r>
    </w:p>
    <w:p w:rsidR="00412EA7" w:rsidRDefault="00412EA7" w:rsidP="00412E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арендной платы и эксплуатационных расходов осуществляется арендаторами на основании выставленных счетов-фактур и актов выполненных работ в установленные договором сроки. Дебиторская задолженность с истекшим сроком исковой давности на момент проведения экспертного мероприятия о</w:t>
      </w:r>
      <w:r w:rsidR="0057485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сутствует.</w:t>
      </w:r>
    </w:p>
    <w:p w:rsidR="009C0806" w:rsidRDefault="009C0806" w:rsidP="00C64D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 w:rsidR="00C64DBF">
        <w:rPr>
          <w:bCs/>
          <w:sz w:val="28"/>
          <w:szCs w:val="28"/>
        </w:rPr>
        <w:t>подпунктом 7 пункта 1 статьи 17.1 Федерального закона от 26</w:t>
      </w:r>
      <w:r w:rsidR="00B00744">
        <w:rPr>
          <w:bCs/>
          <w:sz w:val="28"/>
          <w:szCs w:val="28"/>
        </w:rPr>
        <w:t>.06.2006 №</w:t>
      </w:r>
      <w:r w:rsidR="00C64DBF">
        <w:rPr>
          <w:bCs/>
          <w:sz w:val="28"/>
          <w:szCs w:val="28"/>
        </w:rPr>
        <w:t xml:space="preserve"> 135-ФЗ «О защите конкуренции» учреждениями культуры города Чебоксары заключены договоры аренды на размещение оконечного оборудования операторами связи без проведения торгов. Цена договора при заключении установлена на основании </w:t>
      </w:r>
      <w:r>
        <w:rPr>
          <w:bCs/>
          <w:sz w:val="28"/>
          <w:szCs w:val="28"/>
        </w:rPr>
        <w:t>постановлени</w:t>
      </w:r>
      <w:r w:rsidR="00C64DB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главы администрации города Чебоксары от 16.06.2005 № 176 «Об утверждении цен на услуги </w:t>
      </w:r>
      <w:r w:rsidR="00C64DBF">
        <w:rPr>
          <w:bCs/>
          <w:sz w:val="28"/>
          <w:szCs w:val="28"/>
        </w:rPr>
        <w:t xml:space="preserve">по предоставлению права размещения оконечного оборудования операторами связи в муниципальных нежилых помещениях (зданиях) города Чебоксары». </w:t>
      </w:r>
      <w:r w:rsidR="00C64DBF">
        <w:rPr>
          <w:bCs/>
          <w:sz w:val="28"/>
          <w:szCs w:val="28"/>
        </w:rPr>
        <w:lastRenderedPageBreak/>
        <w:t xml:space="preserve">Рыночная оценка стоимости услуг по размещению оконечного оборудования операторами связи ни учреждениями культуры города Чебоксары, ни Чебоксарским городским комитетом по управлению имуществом не проводилась. Цена договора </w:t>
      </w:r>
      <w:r w:rsidR="00031332">
        <w:rPr>
          <w:bCs/>
          <w:sz w:val="28"/>
          <w:szCs w:val="28"/>
        </w:rPr>
        <w:t>увеличивалась</w:t>
      </w:r>
      <w:r w:rsidR="00B00744">
        <w:rPr>
          <w:bCs/>
          <w:sz w:val="28"/>
          <w:szCs w:val="28"/>
        </w:rPr>
        <w:t xml:space="preserve"> на коэффициент повышения базовой ставки арендной платы, ежегодно утверждаемой нормативно-правовым актом администрации города Чебоксары. </w:t>
      </w:r>
    </w:p>
    <w:p w:rsidR="00B00744" w:rsidRDefault="00B00744" w:rsidP="00C64D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Условиями заключенных договоров на размещение оконечного оборудования операторами связи предусмотрен возврат площади по акту приема - передачи учреждениями культуры города Чебоксары в том состоянии, в котором они были получены.</w:t>
      </w:r>
    </w:p>
    <w:p w:rsidR="00B00744" w:rsidRDefault="00B00744" w:rsidP="00C64D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421 Гражданского кодекса Российской Федерации учреждения культуры города Чебоксары заключали договора возмездного оказания услуг, в которых содержатся  элементы договора аренд</w:t>
      </w:r>
      <w:r w:rsidR="00031332">
        <w:rPr>
          <w:bCs/>
          <w:sz w:val="28"/>
          <w:szCs w:val="28"/>
        </w:rPr>
        <w:t xml:space="preserve">ы (смешанный договор). Срок оказания услуг по указанным договорам носит кратковременный характер, и составляет не более чем тридцать календарных дней, т.е. срок, на который в соответствии с подпунктом 11 пункта 1 статьи 17.1 Федерального закона от 26.06.2006 № 135-ФЗ «О защите конкуренции» заключение договоров аренды проводится без торгов. </w:t>
      </w:r>
      <w:r w:rsidR="00837DA8">
        <w:rPr>
          <w:bCs/>
          <w:sz w:val="28"/>
          <w:szCs w:val="28"/>
        </w:rPr>
        <w:t>Договора возмездного оказания услуг не согласовывались собственником имущества в лице Чебоксарского городского управления имуществом.</w:t>
      </w:r>
    </w:p>
    <w:p w:rsidR="00031332" w:rsidRDefault="00031332" w:rsidP="00031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Стоимость договора устанавливается на основании прейскуранта цен на платные услуги, утвержденного руководителем учреждения культуры города Чебоксары.</w:t>
      </w:r>
    </w:p>
    <w:p w:rsidR="00837DA8" w:rsidRDefault="00837DA8" w:rsidP="00837D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арендной платы и эксплуатационных расходов осуществляется арендаторами на основании выставленных счетов-фактур и актов выполненных работ в установленные договором сроки. Дебиторская задолженность с истекшим сроком исковой давности на момент проведения экспертного мероприятия отсутствует.</w:t>
      </w:r>
    </w:p>
    <w:p w:rsidR="00837DA8" w:rsidRDefault="00837DA8" w:rsidP="00837DA8">
      <w:pPr>
        <w:pStyle w:val="21"/>
        <w:spacing w:before="120" w:after="0" w:line="240" w:lineRule="auto"/>
        <w:ind w:left="360"/>
        <w:jc w:val="center"/>
        <w:rPr>
          <w:snapToGrid w:val="0"/>
          <w:sz w:val="28"/>
          <w:szCs w:val="28"/>
        </w:rPr>
      </w:pPr>
    </w:p>
    <w:p w:rsidR="00B23A82" w:rsidRDefault="00B23A82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7DA8" w:rsidRDefault="00837DA8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7DA8" w:rsidRDefault="00837DA8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7DA8" w:rsidRDefault="00837DA8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7DA8" w:rsidRDefault="00837DA8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60B6B" w:rsidRPr="00684D9B" w:rsidRDefault="00260B6B" w:rsidP="003113E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3113EB" w:rsidRPr="00684D9B" w:rsidRDefault="003113EB" w:rsidP="00CC1C6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3113EB" w:rsidRPr="00684D9B" w:rsidSect="00AB2886">
      <w:headerReference w:type="even" r:id="rId9"/>
      <w:head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32" w:rsidRDefault="00031332">
      <w:r>
        <w:separator/>
      </w:r>
    </w:p>
  </w:endnote>
  <w:endnote w:type="continuationSeparator" w:id="0">
    <w:p w:rsidR="00031332" w:rsidRDefault="000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chu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32" w:rsidRDefault="00031332">
      <w:r>
        <w:separator/>
      </w:r>
    </w:p>
  </w:footnote>
  <w:footnote w:type="continuationSeparator" w:id="0">
    <w:p w:rsidR="00031332" w:rsidRDefault="0003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32" w:rsidRDefault="00031332" w:rsidP="004215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1332" w:rsidRDefault="0003133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332" w:rsidRDefault="00031332" w:rsidP="00D014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3AA9">
      <w:rPr>
        <w:rStyle w:val="a8"/>
        <w:noProof/>
      </w:rPr>
      <w:t>2</w:t>
    </w:r>
    <w:r>
      <w:rPr>
        <w:rStyle w:val="a8"/>
      </w:rPr>
      <w:fldChar w:fldCharType="end"/>
    </w:r>
  </w:p>
  <w:p w:rsidR="00031332" w:rsidRDefault="00031332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1"/>
    <w:rsid w:val="00004D1E"/>
    <w:rsid w:val="00031332"/>
    <w:rsid w:val="00053AA9"/>
    <w:rsid w:val="00091C46"/>
    <w:rsid w:val="001012FE"/>
    <w:rsid w:val="00117964"/>
    <w:rsid w:val="0014205E"/>
    <w:rsid w:val="00180772"/>
    <w:rsid w:val="00193F27"/>
    <w:rsid w:val="001C1A5F"/>
    <w:rsid w:val="001C6BD9"/>
    <w:rsid w:val="001E1CCA"/>
    <w:rsid w:val="0021002E"/>
    <w:rsid w:val="00224DB3"/>
    <w:rsid w:val="00227BF5"/>
    <w:rsid w:val="00260B6B"/>
    <w:rsid w:val="00297B9B"/>
    <w:rsid w:val="002B6345"/>
    <w:rsid w:val="003110DC"/>
    <w:rsid w:val="003113EB"/>
    <w:rsid w:val="003468F6"/>
    <w:rsid w:val="0035273D"/>
    <w:rsid w:val="00363C6F"/>
    <w:rsid w:val="003A00A6"/>
    <w:rsid w:val="003D1CE8"/>
    <w:rsid w:val="003F595A"/>
    <w:rsid w:val="0040783F"/>
    <w:rsid w:val="0041017D"/>
    <w:rsid w:val="00412EA7"/>
    <w:rsid w:val="00421557"/>
    <w:rsid w:val="004272DB"/>
    <w:rsid w:val="00443927"/>
    <w:rsid w:val="004579DE"/>
    <w:rsid w:val="00477887"/>
    <w:rsid w:val="00496530"/>
    <w:rsid w:val="004F1A57"/>
    <w:rsid w:val="005316C8"/>
    <w:rsid w:val="00541DC4"/>
    <w:rsid w:val="0057485A"/>
    <w:rsid w:val="005F6542"/>
    <w:rsid w:val="0064439F"/>
    <w:rsid w:val="00647C83"/>
    <w:rsid w:val="00684D9B"/>
    <w:rsid w:val="00684F51"/>
    <w:rsid w:val="006D5B51"/>
    <w:rsid w:val="00711AEB"/>
    <w:rsid w:val="007157D1"/>
    <w:rsid w:val="007354DE"/>
    <w:rsid w:val="0073692A"/>
    <w:rsid w:val="0076377B"/>
    <w:rsid w:val="007A42DB"/>
    <w:rsid w:val="007E4544"/>
    <w:rsid w:val="007E5D9E"/>
    <w:rsid w:val="007F52AA"/>
    <w:rsid w:val="00837DA8"/>
    <w:rsid w:val="008B58A1"/>
    <w:rsid w:val="008C4805"/>
    <w:rsid w:val="009006AC"/>
    <w:rsid w:val="0094432A"/>
    <w:rsid w:val="00990839"/>
    <w:rsid w:val="009A231D"/>
    <w:rsid w:val="009A6D82"/>
    <w:rsid w:val="009B49D6"/>
    <w:rsid w:val="009B7D71"/>
    <w:rsid w:val="009C0806"/>
    <w:rsid w:val="009E19D8"/>
    <w:rsid w:val="009F527F"/>
    <w:rsid w:val="00A17DC2"/>
    <w:rsid w:val="00A2076D"/>
    <w:rsid w:val="00A46DC3"/>
    <w:rsid w:val="00A51639"/>
    <w:rsid w:val="00A534A4"/>
    <w:rsid w:val="00A93FA9"/>
    <w:rsid w:val="00AB2886"/>
    <w:rsid w:val="00AD5088"/>
    <w:rsid w:val="00AE3A69"/>
    <w:rsid w:val="00B00744"/>
    <w:rsid w:val="00B0165F"/>
    <w:rsid w:val="00B23A82"/>
    <w:rsid w:val="00B50793"/>
    <w:rsid w:val="00B54312"/>
    <w:rsid w:val="00B96113"/>
    <w:rsid w:val="00B975E3"/>
    <w:rsid w:val="00BA4E61"/>
    <w:rsid w:val="00BB7F42"/>
    <w:rsid w:val="00BF2A72"/>
    <w:rsid w:val="00BF312D"/>
    <w:rsid w:val="00C64DBF"/>
    <w:rsid w:val="00C7592A"/>
    <w:rsid w:val="00CC1C68"/>
    <w:rsid w:val="00CC52D2"/>
    <w:rsid w:val="00D01496"/>
    <w:rsid w:val="00D22C60"/>
    <w:rsid w:val="00D46C3C"/>
    <w:rsid w:val="00DB3FB5"/>
    <w:rsid w:val="00DD0A01"/>
    <w:rsid w:val="00DF5D70"/>
    <w:rsid w:val="00EA0A62"/>
    <w:rsid w:val="00EA232E"/>
    <w:rsid w:val="00EA7A65"/>
    <w:rsid w:val="00ED4958"/>
    <w:rsid w:val="00EE2A4B"/>
    <w:rsid w:val="00F034D5"/>
    <w:rsid w:val="00F07212"/>
    <w:rsid w:val="00F86876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1BF387E-51C2-47A6-B953-E0A469D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20"/>
    <w:next w:val="a"/>
    <w:autoRedefine/>
    <w:qFormat/>
    <w:rsid w:val="008B58A1"/>
    <w:pPr>
      <w:keepNext/>
      <w:ind w:left="680"/>
      <w:jc w:val="center"/>
      <w:outlineLvl w:val="1"/>
    </w:pPr>
    <w:rPr>
      <w:rFonts w:cs="Arial"/>
      <w:b/>
      <w:bCs/>
      <w:iCs/>
      <w:sz w:val="27"/>
      <w:szCs w:val="28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ETchuw" w:hAnsi="TimesETchuw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paragraph" w:styleId="a3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a4">
    <w:name w:val="Body Text"/>
    <w:basedOn w:val="a"/>
    <w:pPr>
      <w:ind w:right="5110"/>
      <w:jc w:val="both"/>
    </w:pPr>
    <w:rPr>
      <w:sz w:val="28"/>
      <w:szCs w:val="28"/>
    </w:rPr>
  </w:style>
  <w:style w:type="character" w:styleId="a5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240"/>
    </w:pPr>
  </w:style>
  <w:style w:type="paragraph" w:styleId="23">
    <w:name w:val="Body Text 2"/>
    <w:basedOn w:val="a"/>
    <w:pPr>
      <w:autoSpaceDE w:val="0"/>
      <w:autoSpaceDN w:val="0"/>
      <w:adjustRightInd w:val="0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7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rsid w:val="00421557"/>
    <w:pPr>
      <w:tabs>
        <w:tab w:val="center" w:pos="4677"/>
        <w:tab w:val="right" w:pos="9355"/>
      </w:tabs>
    </w:pPr>
  </w:style>
  <w:style w:type="paragraph" w:styleId="aa">
    <w:name w:val="Block Text"/>
    <w:basedOn w:val="a"/>
    <w:rsid w:val="007E5D9E"/>
    <w:pPr>
      <w:widowControl w:val="0"/>
      <w:autoSpaceDE w:val="0"/>
      <w:autoSpaceDN w:val="0"/>
      <w:adjustRightInd w:val="0"/>
      <w:ind w:left="-284" w:right="185"/>
      <w:jc w:val="both"/>
    </w:pPr>
    <w:rPr>
      <w:sz w:val="28"/>
      <w:szCs w:val="28"/>
    </w:rPr>
  </w:style>
  <w:style w:type="paragraph" w:styleId="ab">
    <w:name w:val="Normal (Web)"/>
    <w:basedOn w:val="a"/>
    <w:uiPriority w:val="99"/>
    <w:rsid w:val="007E5D9E"/>
    <w:pPr>
      <w:spacing w:before="100" w:beforeAutospacing="1" w:after="100" w:afterAutospacing="1"/>
      <w:ind w:firstLine="748"/>
      <w:jc w:val="both"/>
    </w:pPr>
  </w:style>
  <w:style w:type="paragraph" w:styleId="ac">
    <w:name w:val="Balloon Text"/>
    <w:basedOn w:val="a"/>
    <w:link w:val="ad"/>
    <w:rsid w:val="004078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0783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A534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534A4"/>
    <w:rPr>
      <w:sz w:val="16"/>
      <w:szCs w:val="16"/>
    </w:rPr>
  </w:style>
  <w:style w:type="paragraph" w:customStyle="1" w:styleId="ConsNormal">
    <w:name w:val="ConsNormal"/>
    <w:rsid w:val="00A534A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ae">
    <w:name w:val="Прижатый влево"/>
    <w:basedOn w:val="a"/>
    <w:next w:val="a"/>
    <w:uiPriority w:val="99"/>
    <w:rsid w:val="00A534A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A534A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7">
    <w:name w:val="Верхний колонтитул Знак"/>
    <w:link w:val="a6"/>
    <w:uiPriority w:val="99"/>
    <w:locked/>
    <w:rsid w:val="00EA232E"/>
    <w:rPr>
      <w:sz w:val="24"/>
      <w:szCs w:val="24"/>
    </w:rPr>
  </w:style>
  <w:style w:type="character" w:customStyle="1" w:styleId="af">
    <w:name w:val="Гипертекстовая ссылка"/>
    <w:uiPriority w:val="99"/>
    <w:rsid w:val="00A93FA9"/>
    <w:rPr>
      <w:color w:val="106BBE"/>
    </w:rPr>
  </w:style>
  <w:style w:type="character" w:customStyle="1" w:styleId="10">
    <w:name w:val="Заголовок 1 Знак"/>
    <w:basedOn w:val="a0"/>
    <w:link w:val="1"/>
    <w:rsid w:val="00C6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7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cheb.cap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6729</CharactersWithSpaces>
  <SharedDoc>false</SharedDoc>
  <HLinks>
    <vt:vector size="6" baseType="variant">
      <vt:variant>
        <vt:i4>7667742</vt:i4>
      </vt:variant>
      <vt:variant>
        <vt:i4>3</vt:i4>
      </vt:variant>
      <vt:variant>
        <vt:i4>0</vt:i4>
      </vt:variant>
      <vt:variant>
        <vt:i4>5</vt:i4>
      </vt:variant>
      <vt:variant>
        <vt:lpwstr>mailto:ksp@gcheb.cap.ru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.</dc:creator>
  <cp:lastModifiedBy>Харитонов Е.В.</cp:lastModifiedBy>
  <cp:revision>2</cp:revision>
  <cp:lastPrinted>2015-06-15T10:12:00Z</cp:lastPrinted>
  <dcterms:created xsi:type="dcterms:W3CDTF">2020-02-18T06:35:00Z</dcterms:created>
  <dcterms:modified xsi:type="dcterms:W3CDTF">2020-02-18T06:35:00Z</dcterms:modified>
</cp:coreProperties>
</file>