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72" w:rsidRDefault="009C6772" w:rsidP="009C6772"/>
    <w:tbl>
      <w:tblPr>
        <w:tblW w:w="0" w:type="auto"/>
        <w:tblLook w:val="0000" w:firstRow="0" w:lastRow="0" w:firstColumn="0" w:lastColumn="0" w:noHBand="0" w:noVBand="0"/>
      </w:tblPr>
      <w:tblGrid>
        <w:gridCol w:w="4061"/>
        <w:gridCol w:w="1182"/>
        <w:gridCol w:w="4014"/>
        <w:gridCol w:w="98"/>
      </w:tblGrid>
      <w:tr w:rsidR="009C6772" w:rsidRPr="008F2E70" w:rsidTr="00107A3E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>
              <w:tab/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082" w:type="dxa"/>
          </w:tcPr>
          <w:p w:rsidR="009C6772" w:rsidRPr="008F2E70" w:rsidRDefault="009C6772" w:rsidP="00107A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noProof/>
                <w:color w:val="000000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8F2E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9C6772" w:rsidRPr="008F2E70" w:rsidTr="00107A3E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9C6772" w:rsidRPr="008F2E70" w:rsidRDefault="009C6772" w:rsidP="00107A3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УÇЫРМА ЯЛ</w:t>
            </w:r>
            <w:r w:rsidRPr="008F2E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8F2E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ПОСЕЛЕНИЙĚН</w:t>
            </w:r>
          </w:p>
          <w:p w:rsidR="009C6772" w:rsidRPr="008F2E70" w:rsidRDefault="009C6772" w:rsidP="00107A3E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9C6772" w:rsidRPr="008F2E70" w:rsidRDefault="009C6772" w:rsidP="00107A3E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9C6772" w:rsidRPr="008F2E70" w:rsidRDefault="009C6772" w:rsidP="00107A3E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у 2020  </w:t>
            </w:r>
            <w:r w:rsidRPr="009C6772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4</w:t>
            </w:r>
            <w:r w:rsidR="00A856E8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8</w:t>
            </w:r>
            <w:r w:rsidRPr="009C6772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</w:rPr>
              <w:t>/2</w:t>
            </w:r>
            <w:r w:rsidRPr="008F2E7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Уçырма ялě</w:t>
            </w:r>
            <w:r w:rsidRPr="008F2E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25" w:type="dxa"/>
            <w:vMerge/>
          </w:tcPr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184" w:type="dxa"/>
            <w:gridSpan w:val="2"/>
          </w:tcPr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8F2E70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МАЛОБИКШИХСКОГО  СЕЛЬСКОГО ПОСЕЛЕНИЯ</w:t>
            </w:r>
          </w:p>
          <w:p w:rsidR="009C6772" w:rsidRPr="008F2E70" w:rsidRDefault="009C6772" w:rsidP="0010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6772" w:rsidRPr="009C6772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  2020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="00A856E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/2</w:t>
            </w:r>
          </w:p>
          <w:p w:rsidR="009C6772" w:rsidRPr="008F2E70" w:rsidRDefault="009C6772" w:rsidP="00107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F2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F2E70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деревня Малые Бикшихи</w:t>
            </w:r>
          </w:p>
        </w:tc>
      </w:tr>
    </w:tbl>
    <w:p w:rsidR="009C6772" w:rsidRDefault="009C6772" w:rsidP="009C6772"/>
    <w:p w:rsidR="009C6772" w:rsidRPr="009C6772" w:rsidRDefault="009C6772" w:rsidP="009C6772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7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принятия решений об условиях приватизации муниципального имущества </w:t>
      </w:r>
      <w:r w:rsidRPr="009C6772">
        <w:rPr>
          <w:rFonts w:ascii="Times New Roman" w:hAnsi="Times New Roman" w:cs="Times New Roman"/>
          <w:b/>
          <w:sz w:val="24"/>
          <w:szCs w:val="24"/>
        </w:rPr>
        <w:t xml:space="preserve">Малобикшихского </w:t>
      </w:r>
      <w:r w:rsidRPr="009C6772">
        <w:rPr>
          <w:rFonts w:ascii="Times New Roman" w:hAnsi="Times New Roman" w:cs="Times New Roman"/>
          <w:b/>
          <w:sz w:val="24"/>
          <w:szCs w:val="24"/>
        </w:rPr>
        <w:t>сельского поселения Канашского района Чувашской Республики</w:t>
      </w:r>
    </w:p>
    <w:p w:rsidR="009C6772" w:rsidRPr="009C6772" w:rsidRDefault="009C6772" w:rsidP="009C6772">
      <w:pPr>
        <w:rPr>
          <w:rFonts w:ascii="Times New Roman" w:hAnsi="Times New Roman" w:cs="Times New Roman"/>
          <w:sz w:val="24"/>
          <w:szCs w:val="24"/>
        </w:rPr>
      </w:pPr>
    </w:p>
    <w:p w:rsidR="009C6772" w:rsidRPr="009C6772" w:rsidRDefault="009C6772" w:rsidP="009C67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67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7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772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C6772">
        <w:rPr>
          <w:rFonts w:ascii="Times New Roman" w:hAnsi="Times New Roman" w:cs="Times New Roman"/>
          <w:sz w:val="24"/>
          <w:szCs w:val="24"/>
        </w:rPr>
        <w:t xml:space="preserve"> целях приведения Порядка принятия решения об условиях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Малобикшихского</w:t>
      </w:r>
      <w:r w:rsidRPr="009C677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Собрания депутатов Малобикшихского сельского поселения Канашского района Чувашской Республики </w:t>
      </w:r>
      <w:r w:rsidRPr="009C6772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 октября 2016 г. № 11</w:t>
      </w:r>
      <w:r w:rsidRPr="009C67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772">
        <w:rPr>
          <w:rFonts w:ascii="Times New Roman" w:hAnsi="Times New Roman" w:cs="Times New Roman"/>
          <w:sz w:val="24"/>
          <w:szCs w:val="24"/>
        </w:rPr>
        <w:t xml:space="preserve">,  </w:t>
      </w:r>
      <w:r w:rsidRPr="009C6772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Pr="009C6772">
        <w:rPr>
          <w:rFonts w:ascii="Times New Roman" w:hAnsi="Times New Roman" w:cs="Times New Roman"/>
          <w:b/>
          <w:sz w:val="24"/>
          <w:szCs w:val="24"/>
        </w:rPr>
        <w:t>Малобикшихского</w:t>
      </w:r>
      <w:r w:rsidRPr="009C67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Канашского района Чувашской Республики  р е ш и л о :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677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</w:t>
      </w:r>
      <w:r w:rsidRPr="009C6772">
        <w:rPr>
          <w:rFonts w:ascii="Times New Roman" w:hAnsi="Times New Roman" w:cs="Times New Roman"/>
          <w:sz w:val="24"/>
          <w:szCs w:val="24"/>
        </w:rPr>
        <w:t xml:space="preserve"> порядок принятия решения об условиях приватизации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Малобикшихского </w:t>
      </w:r>
      <w:r w:rsidRPr="009C677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 xml:space="preserve"> поселения Канашского района Чувашской Республики,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Малобикшихского сельского поселения Канашского района Чувашской Республики </w:t>
      </w:r>
      <w:r w:rsidRPr="009C6772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 октября 2016 г. № 11</w:t>
      </w:r>
      <w:r w:rsidRPr="009C67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7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(с изменениями от 31.10.2017 г. № 23/4, от 26.07.2018 г. № 31/3,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от </w:t>
      </w:r>
      <w:r w:rsidRPr="009C677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20.03.2019 г.  № 36/2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, от 10.12.2019 г. № 45/9 </w:t>
      </w:r>
      <w:r w:rsidRPr="009C677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)</w:t>
      </w:r>
      <w:r w:rsidRPr="009C6772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C677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>) пункт 12.3 изложить в следующей редакции: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 w:rsidRPr="009C6772">
        <w:rPr>
          <w:rFonts w:ascii="Times New Roman" w:hAnsi="Times New Roman" w:cs="Times New Roman"/>
          <w:sz w:val="24"/>
          <w:szCs w:val="24"/>
        </w:rPr>
        <w:t xml:space="preserve">«12.3. Информационное сообщение о продаже муниципального имущества подлежит опубликованию не менее, чем за 30 дней до дня осуществления продажи указанного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6772">
        <w:rPr>
          <w:rFonts w:ascii="Times New Roman" w:hAnsi="Times New Roman" w:cs="Times New Roman"/>
          <w:sz w:val="24"/>
          <w:szCs w:val="24"/>
        </w:rPr>
        <w:t>мущества, если иное не предусмотрено Федеральным законом.»;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C67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>) пункт 12.4 дополнить подпунктами: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6772">
        <w:rPr>
          <w:rFonts w:ascii="Times New Roman" w:hAnsi="Times New Roman" w:cs="Times New Roman"/>
          <w:sz w:val="24"/>
          <w:szCs w:val="24"/>
        </w:rPr>
        <w:t>- размер задатка, срок и порядок его внесения, необходимые реквизиты счетов;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 w:rsidRPr="009C6772">
        <w:rPr>
          <w:rFonts w:ascii="Times New Roman" w:hAnsi="Times New Roman" w:cs="Times New Roman"/>
          <w:sz w:val="24"/>
          <w:szCs w:val="24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9C6772">
        <w:rPr>
          <w:rFonts w:ascii="Times New Roman" w:hAnsi="Times New Roman" w:cs="Times New Roman"/>
          <w:sz w:val="24"/>
          <w:szCs w:val="24"/>
        </w:rPr>
        <w:t>;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gramStart"/>
      <w:r w:rsidRPr="009C6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>) абзац 3 пункта 12.6 изложить в следующей редакции: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C6772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 xml:space="preserve">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"О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6772">
        <w:rPr>
          <w:rFonts w:ascii="Times New Roman" w:hAnsi="Times New Roman" w:cs="Times New Roman"/>
          <w:sz w:val="24"/>
          <w:szCs w:val="24"/>
        </w:rPr>
        <w:t>;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C67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6772">
        <w:rPr>
          <w:rFonts w:ascii="Times New Roman" w:hAnsi="Times New Roman" w:cs="Times New Roman"/>
          <w:sz w:val="24"/>
          <w:szCs w:val="24"/>
        </w:rPr>
        <w:t>) пункт 12.7 дополнить подпунктом: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6772">
        <w:rPr>
          <w:rFonts w:ascii="Times New Roman" w:hAnsi="Times New Roman" w:cs="Times New Roman"/>
          <w:sz w:val="24"/>
          <w:szCs w:val="24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83B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6772">
        <w:rPr>
          <w:rFonts w:ascii="Times New Roman" w:hAnsi="Times New Roman" w:cs="Times New Roman"/>
          <w:sz w:val="24"/>
          <w:szCs w:val="24"/>
        </w:rPr>
        <w:t xml:space="preserve">2.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9C677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772" w:rsidRPr="009C6772" w:rsidRDefault="009C6772" w:rsidP="009C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Малобикшихского </w:t>
      </w:r>
    </w:p>
    <w:p w:rsidR="009C6772" w:rsidRPr="009C6772" w:rsidRDefault="009C6772" w:rsidP="009C67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9C6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Pr="009C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Н.А. Петрова </w:t>
      </w:r>
    </w:p>
    <w:p w:rsidR="009C6772" w:rsidRPr="009C6772" w:rsidRDefault="009C6772" w:rsidP="009C6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6772" w:rsidRPr="009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2"/>
    <w:rsid w:val="009C6772"/>
    <w:rsid w:val="00A856E8"/>
    <w:rsid w:val="00D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55D9-EE57-4FD2-BAB9-EFE2D67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9C677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8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cp:lastPrinted>2020-05-22T13:37:00Z</cp:lastPrinted>
  <dcterms:created xsi:type="dcterms:W3CDTF">2020-05-22T13:25:00Z</dcterms:created>
  <dcterms:modified xsi:type="dcterms:W3CDTF">2020-05-22T13:37:00Z</dcterms:modified>
</cp:coreProperties>
</file>