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50" w:rsidRPr="00DB6A50" w:rsidRDefault="00DB6A50" w:rsidP="00DB6A50">
      <w:pPr>
        <w:jc w:val="right"/>
      </w:pPr>
      <w:r w:rsidRPr="00DB6A50">
        <w:rPr>
          <w:noProof/>
        </w:rPr>
        <w:drawing>
          <wp:anchor distT="0" distB="0" distL="114300" distR="114300" simplePos="0" relativeHeight="251659264" behindDoc="0" locked="0" layoutInCell="1" allowOverlap="1" wp14:anchorId="18098A45" wp14:editId="410A2B32">
            <wp:simplePos x="0" y="0"/>
            <wp:positionH relativeFrom="column">
              <wp:posOffset>2560320</wp:posOffset>
            </wp:positionH>
            <wp:positionV relativeFrom="paragraph">
              <wp:posOffset>34290</wp:posOffset>
            </wp:positionV>
            <wp:extent cx="720090" cy="720090"/>
            <wp:effectExtent l="0" t="0" r="3810" b="381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-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DB6A50" w:rsidRPr="00DB6A50" w:rsidTr="00DB6A50">
        <w:trPr>
          <w:cantSplit/>
          <w:trHeight w:val="253"/>
        </w:trPr>
        <w:tc>
          <w:tcPr>
            <w:tcW w:w="4195" w:type="dxa"/>
          </w:tcPr>
          <w:p w:rsidR="00DB6A50" w:rsidRPr="00DB6A50" w:rsidRDefault="00DB6A50" w:rsidP="00DB6A50">
            <w:pPr>
              <w:jc w:val="center"/>
            </w:pPr>
            <w:r w:rsidRPr="00DB6A50">
              <w:rPr>
                <w:b/>
                <w:bCs/>
                <w:noProof/>
                <w:sz w:val="22"/>
              </w:rPr>
              <w:t>ЧĂВАШ  РЕСПУБЛИКИ</w:t>
            </w:r>
          </w:p>
        </w:tc>
        <w:tc>
          <w:tcPr>
            <w:tcW w:w="1173" w:type="dxa"/>
            <w:vMerge w:val="restart"/>
          </w:tcPr>
          <w:p w:rsidR="00DB6A50" w:rsidRPr="00DB6A50" w:rsidRDefault="00DB6A50" w:rsidP="00DB6A50">
            <w:pPr>
              <w:jc w:val="center"/>
              <w:rPr>
                <w:sz w:val="26"/>
              </w:rPr>
            </w:pPr>
          </w:p>
        </w:tc>
        <w:tc>
          <w:tcPr>
            <w:tcW w:w="4202" w:type="dxa"/>
          </w:tcPr>
          <w:p w:rsidR="00DB6A50" w:rsidRPr="009E27A1" w:rsidRDefault="00DB6A50" w:rsidP="00DB6A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9E27A1">
              <w:rPr>
                <w:rFonts w:cs="Courier New"/>
                <w:b/>
                <w:bCs/>
                <w:noProof/>
                <w:sz w:val="22"/>
                <w:szCs w:val="22"/>
              </w:rPr>
              <w:t xml:space="preserve">ЧУВАШСКАЯ РЕСПУБЛИКА </w:t>
            </w:r>
          </w:p>
        </w:tc>
      </w:tr>
      <w:tr w:rsidR="00DB6A50" w:rsidRPr="00DB6A50" w:rsidTr="00DB6A50">
        <w:trPr>
          <w:cantSplit/>
          <w:trHeight w:val="2355"/>
        </w:trPr>
        <w:tc>
          <w:tcPr>
            <w:tcW w:w="4195" w:type="dxa"/>
          </w:tcPr>
          <w:p w:rsidR="00070615" w:rsidRDefault="00070615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2"/>
                <w:szCs w:val="20"/>
              </w:rPr>
            </w:pPr>
          </w:p>
          <w:p w:rsidR="00DB6A50" w:rsidRPr="00DB6A50" w:rsidRDefault="00DB6A50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2"/>
                <w:szCs w:val="20"/>
              </w:rPr>
            </w:pPr>
            <w:r w:rsidRPr="00DB6A50">
              <w:rPr>
                <w:rFonts w:cs="Courier New"/>
                <w:b/>
                <w:bCs/>
                <w:noProof/>
                <w:sz w:val="22"/>
                <w:szCs w:val="20"/>
              </w:rPr>
              <w:t>ÇĚМĚРЛЕ РАЙОНĚН</w:t>
            </w:r>
          </w:p>
          <w:p w:rsidR="00070615" w:rsidRDefault="00070615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2"/>
                <w:szCs w:val="20"/>
              </w:rPr>
            </w:pPr>
          </w:p>
          <w:p w:rsidR="00DB6A50" w:rsidRPr="00DB6A50" w:rsidRDefault="00DB6A50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sz w:val="22"/>
                <w:szCs w:val="20"/>
              </w:rPr>
            </w:pPr>
            <w:r w:rsidRPr="00DB6A50">
              <w:rPr>
                <w:rFonts w:cs="Courier New"/>
                <w:b/>
                <w:bCs/>
                <w:noProof/>
                <w:sz w:val="22"/>
                <w:szCs w:val="20"/>
              </w:rPr>
              <w:t xml:space="preserve">АНАТ КĂМАША ЯЛ ПОСЕЛЕНИЙĚН </w:t>
            </w:r>
          </w:p>
          <w:p w:rsidR="00DB6A50" w:rsidRPr="00DB6A50" w:rsidRDefault="00DB6A50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hAnsi="Courier New" w:cs="Courier New"/>
                <w:b/>
                <w:bCs/>
                <w:color w:val="000080"/>
                <w:sz w:val="26"/>
                <w:szCs w:val="20"/>
              </w:rPr>
            </w:pPr>
            <w:r w:rsidRPr="00DB6A50">
              <w:rPr>
                <w:rFonts w:cs="Courier New"/>
                <w:b/>
                <w:bCs/>
                <w:noProof/>
                <w:sz w:val="22"/>
                <w:szCs w:val="20"/>
              </w:rPr>
              <w:t xml:space="preserve">АДМИНИСТРАЦИЙĚ </w:t>
            </w:r>
            <w:r w:rsidRPr="00DB6A50">
              <w:rPr>
                <w:rFonts w:cs="Courier New"/>
                <w:b/>
                <w:bCs/>
                <w:noProof/>
                <w:color w:val="000080"/>
                <w:sz w:val="26"/>
                <w:szCs w:val="20"/>
              </w:rPr>
              <w:t xml:space="preserve"> </w:t>
            </w:r>
          </w:p>
          <w:p w:rsidR="00DB6A50" w:rsidRPr="00DB6A50" w:rsidRDefault="00DB6A50" w:rsidP="00070615">
            <w:pPr>
              <w:spacing w:line="192" w:lineRule="auto"/>
            </w:pPr>
          </w:p>
          <w:p w:rsidR="00DB6A50" w:rsidRPr="00070615" w:rsidRDefault="00DB6A50" w:rsidP="00070615">
            <w:pPr>
              <w:tabs>
                <w:tab w:val="left" w:pos="4285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b/>
                <w:bCs/>
                <w:noProof/>
                <w:color w:val="000080"/>
                <w:sz w:val="22"/>
                <w:szCs w:val="22"/>
              </w:rPr>
            </w:pPr>
            <w:r w:rsidRPr="00070615">
              <w:rPr>
                <w:rFonts w:cs="Courier New"/>
                <w:b/>
                <w:bCs/>
                <w:noProof/>
                <w:color w:val="000080"/>
                <w:sz w:val="22"/>
                <w:szCs w:val="22"/>
              </w:rPr>
              <w:t>ЙЫШĂНУ</w:t>
            </w:r>
          </w:p>
          <w:p w:rsidR="00DB6A50" w:rsidRPr="00DB6A50" w:rsidRDefault="00DB6A50" w:rsidP="00070615"/>
          <w:p w:rsidR="00DB6A50" w:rsidRPr="00070615" w:rsidRDefault="00070615" w:rsidP="00070615">
            <w:pPr>
              <w:autoSpaceDE w:val="0"/>
              <w:autoSpaceDN w:val="0"/>
              <w:adjustRightInd w:val="0"/>
              <w:jc w:val="center"/>
              <w:rPr>
                <w:rFonts w:cs="Courier New"/>
                <w:noProof/>
                <w:sz w:val="22"/>
                <w:szCs w:val="22"/>
              </w:rPr>
            </w:pPr>
            <w:r>
              <w:rPr>
                <w:rFonts w:cs="Courier New"/>
                <w:noProof/>
                <w:sz w:val="22"/>
                <w:szCs w:val="22"/>
              </w:rPr>
              <w:t>24.04</w:t>
            </w:r>
            <w:r w:rsidR="00DB6A50" w:rsidRPr="00070615">
              <w:rPr>
                <w:rFonts w:cs="Courier New"/>
                <w:noProof/>
                <w:sz w:val="22"/>
                <w:szCs w:val="22"/>
              </w:rPr>
              <w:t xml:space="preserve">.2020 г.   </w:t>
            </w:r>
            <w:r>
              <w:rPr>
                <w:rFonts w:cs="Courier New"/>
                <w:noProof/>
                <w:sz w:val="22"/>
                <w:szCs w:val="22"/>
              </w:rPr>
              <w:t>37</w:t>
            </w:r>
            <w:r w:rsidR="00DB6A50" w:rsidRPr="00070615">
              <w:rPr>
                <w:rFonts w:cs="Courier New"/>
                <w:noProof/>
                <w:sz w:val="22"/>
                <w:szCs w:val="22"/>
              </w:rPr>
              <w:t xml:space="preserve">  №</w:t>
            </w:r>
          </w:p>
          <w:p w:rsidR="00DB6A50" w:rsidRPr="00DB6A50" w:rsidRDefault="00DB6A50" w:rsidP="00DB6A50">
            <w:pPr>
              <w:jc w:val="center"/>
              <w:rPr>
                <w:noProof/>
                <w:sz w:val="26"/>
              </w:rPr>
            </w:pPr>
            <w:r w:rsidRPr="00070615">
              <w:rPr>
                <w:noProof/>
                <w:sz w:val="22"/>
                <w:szCs w:val="22"/>
              </w:rPr>
              <w:t>Анат Кăмаша сали</w:t>
            </w:r>
          </w:p>
        </w:tc>
        <w:tc>
          <w:tcPr>
            <w:tcW w:w="0" w:type="auto"/>
            <w:vMerge/>
            <w:vAlign w:val="center"/>
          </w:tcPr>
          <w:p w:rsidR="00DB6A50" w:rsidRPr="00DB6A50" w:rsidRDefault="00DB6A50" w:rsidP="00DB6A50">
            <w:pPr>
              <w:rPr>
                <w:sz w:val="26"/>
              </w:rPr>
            </w:pPr>
          </w:p>
        </w:tc>
        <w:tc>
          <w:tcPr>
            <w:tcW w:w="4202" w:type="dxa"/>
          </w:tcPr>
          <w:p w:rsidR="00DB6A50" w:rsidRPr="009E27A1" w:rsidRDefault="00DB6A50" w:rsidP="00DB6A50">
            <w:pPr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cs="Courier New"/>
                <w:b/>
                <w:bCs/>
                <w:noProof/>
                <w:sz w:val="22"/>
                <w:szCs w:val="22"/>
              </w:rPr>
            </w:pPr>
            <w:r w:rsidRPr="009E27A1">
              <w:rPr>
                <w:rFonts w:cs="Courier New"/>
                <w:b/>
                <w:bCs/>
                <w:noProof/>
                <w:sz w:val="22"/>
                <w:szCs w:val="22"/>
              </w:rPr>
              <w:t>АДМИНИСТРАЦИЯ</w:t>
            </w:r>
          </w:p>
          <w:p w:rsidR="00DB6A50" w:rsidRDefault="00DB6A50" w:rsidP="00DB6A50">
            <w:pPr>
              <w:jc w:val="center"/>
              <w:rPr>
                <w:b/>
                <w:sz w:val="22"/>
                <w:szCs w:val="22"/>
              </w:rPr>
            </w:pPr>
            <w:r w:rsidRPr="009E27A1">
              <w:rPr>
                <w:b/>
                <w:sz w:val="22"/>
                <w:szCs w:val="22"/>
              </w:rPr>
              <w:t xml:space="preserve">    НИЖНЕКУМАШКИНСКОГО   СЕЛЬСКОГО ПОСЕЛЕНИЯ</w:t>
            </w:r>
          </w:p>
          <w:p w:rsidR="009E27A1" w:rsidRPr="009E27A1" w:rsidRDefault="009E27A1" w:rsidP="00DB6A50">
            <w:pPr>
              <w:jc w:val="center"/>
              <w:rPr>
                <w:b/>
                <w:sz w:val="22"/>
                <w:szCs w:val="22"/>
              </w:rPr>
            </w:pPr>
          </w:p>
          <w:p w:rsidR="00DB6A50" w:rsidRPr="009E27A1" w:rsidRDefault="00DB6A50" w:rsidP="00DB6A50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cs="Courier New"/>
                <w:noProof/>
                <w:sz w:val="22"/>
                <w:szCs w:val="22"/>
              </w:rPr>
            </w:pPr>
            <w:r w:rsidRPr="009E27A1">
              <w:rPr>
                <w:rFonts w:cs="Courier New"/>
                <w:b/>
                <w:bCs/>
                <w:noProof/>
                <w:sz w:val="22"/>
                <w:szCs w:val="22"/>
              </w:rPr>
              <w:t>ШУМЕРЛИНСКОГО РАЙОНА</w:t>
            </w:r>
            <w:r w:rsidRPr="009E27A1">
              <w:rPr>
                <w:rFonts w:cs="Courier New"/>
                <w:noProof/>
                <w:sz w:val="22"/>
                <w:szCs w:val="22"/>
              </w:rPr>
              <w:t xml:space="preserve"> </w:t>
            </w:r>
          </w:p>
          <w:p w:rsidR="00DB6A50" w:rsidRPr="009E27A1" w:rsidRDefault="00DB6A50" w:rsidP="00DB6A50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80"/>
                <w:sz w:val="22"/>
                <w:szCs w:val="22"/>
              </w:rPr>
            </w:pPr>
          </w:p>
          <w:p w:rsidR="00DB6A50" w:rsidRPr="009E27A1" w:rsidRDefault="00DB6A50" w:rsidP="00DB6A50">
            <w:pPr>
              <w:autoSpaceDE w:val="0"/>
              <w:autoSpaceDN w:val="0"/>
              <w:adjustRightInd w:val="0"/>
              <w:jc w:val="center"/>
              <w:rPr>
                <w:rFonts w:cs="Courier New"/>
                <w:b/>
                <w:bCs/>
                <w:noProof/>
                <w:color w:val="000080"/>
                <w:sz w:val="22"/>
                <w:szCs w:val="22"/>
              </w:rPr>
            </w:pPr>
            <w:r w:rsidRPr="009E27A1">
              <w:rPr>
                <w:rFonts w:cs="Courier New"/>
                <w:b/>
                <w:bCs/>
                <w:noProof/>
                <w:color w:val="000080"/>
                <w:sz w:val="22"/>
                <w:szCs w:val="22"/>
              </w:rPr>
              <w:t>ПОСТАНОВЛЕНИЕ</w:t>
            </w:r>
          </w:p>
          <w:p w:rsidR="00DB6A50" w:rsidRPr="009E27A1" w:rsidRDefault="00DB6A50" w:rsidP="00DB6A50">
            <w:pPr>
              <w:rPr>
                <w:sz w:val="22"/>
                <w:szCs w:val="22"/>
              </w:rPr>
            </w:pPr>
          </w:p>
          <w:p w:rsidR="00DB6A50" w:rsidRPr="009E27A1" w:rsidRDefault="00070615" w:rsidP="00DB6A50">
            <w:pPr>
              <w:jc w:val="center"/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24.04</w:t>
            </w:r>
            <w:r w:rsidR="00DB6A50" w:rsidRPr="009E27A1">
              <w:rPr>
                <w:noProof/>
                <w:sz w:val="22"/>
                <w:szCs w:val="22"/>
              </w:rPr>
              <w:t xml:space="preserve">.2020 г.  №  </w:t>
            </w:r>
            <w:r>
              <w:rPr>
                <w:noProof/>
                <w:sz w:val="22"/>
                <w:szCs w:val="22"/>
              </w:rPr>
              <w:t>37</w:t>
            </w:r>
          </w:p>
          <w:p w:rsidR="00DB6A50" w:rsidRPr="009E27A1" w:rsidRDefault="00DB6A50" w:rsidP="00DB6A50">
            <w:pPr>
              <w:jc w:val="center"/>
              <w:rPr>
                <w:noProof/>
                <w:sz w:val="22"/>
                <w:szCs w:val="22"/>
              </w:rPr>
            </w:pPr>
            <w:r w:rsidRPr="009E27A1">
              <w:rPr>
                <w:noProof/>
                <w:sz w:val="22"/>
                <w:szCs w:val="22"/>
              </w:rPr>
              <w:t>село Нижняя Кумашка</w:t>
            </w:r>
          </w:p>
        </w:tc>
      </w:tr>
    </w:tbl>
    <w:p w:rsidR="00816642" w:rsidRPr="00450FDB" w:rsidRDefault="00816642" w:rsidP="00816642">
      <w:pPr>
        <w:pStyle w:val="ab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4"/>
      </w:tblGrid>
      <w:tr w:rsidR="00816642" w:rsidRPr="00450FDB" w:rsidTr="00DB6A50"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816642" w:rsidRPr="00450FDB" w:rsidRDefault="00816642" w:rsidP="00677958">
            <w:pPr>
              <w:jc w:val="both"/>
            </w:pPr>
            <w:r w:rsidRPr="00450FDB">
              <w:t xml:space="preserve">Об утверждении муниципальной программы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Pr="00450FDB">
              <w:t xml:space="preserve"> района «Комплексное развитие сельских территорий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Pr="00450FDB">
              <w:t xml:space="preserve"> района» </w:t>
            </w:r>
          </w:p>
          <w:p w:rsidR="00816642" w:rsidRPr="00450FDB" w:rsidRDefault="00816642" w:rsidP="00677958">
            <w:pPr>
              <w:jc w:val="both"/>
            </w:pPr>
          </w:p>
        </w:tc>
      </w:tr>
    </w:tbl>
    <w:p w:rsidR="00816642" w:rsidRPr="00450FDB" w:rsidRDefault="00816642" w:rsidP="00816642">
      <w:pPr>
        <w:ind w:firstLine="540"/>
        <w:jc w:val="both"/>
      </w:pPr>
      <w:r w:rsidRPr="00450FDB">
        <w:t xml:space="preserve">Администрация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 </w:t>
      </w:r>
      <w:proofErr w:type="spellStart"/>
      <w:r w:rsidR="00DB6A50">
        <w:t>Шумерлинского</w:t>
      </w:r>
      <w:proofErr w:type="spellEnd"/>
      <w:r w:rsidRPr="00450FDB">
        <w:t xml:space="preserve"> района  </w:t>
      </w:r>
      <w:proofErr w:type="gramStart"/>
      <w:r w:rsidRPr="00450FDB">
        <w:t>п</w:t>
      </w:r>
      <w:proofErr w:type="gramEnd"/>
      <w:r w:rsidRPr="00450FDB">
        <w:t xml:space="preserve"> о с т а н о в л я е т:</w:t>
      </w:r>
    </w:p>
    <w:p w:rsidR="00816642" w:rsidRPr="00450FDB" w:rsidRDefault="00816642" w:rsidP="00816642">
      <w:pPr>
        <w:ind w:firstLine="540"/>
        <w:jc w:val="both"/>
      </w:pPr>
    </w:p>
    <w:p w:rsidR="00816642" w:rsidRPr="00450FDB" w:rsidRDefault="00816642" w:rsidP="00816642">
      <w:pPr>
        <w:ind w:firstLine="709"/>
        <w:jc w:val="both"/>
      </w:pPr>
      <w:r w:rsidRPr="00450FDB">
        <w:t xml:space="preserve">1. Утвердить прилагаемую муниципальную программу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 </w:t>
      </w:r>
      <w:proofErr w:type="spellStart"/>
      <w:r w:rsidR="00DB6A50">
        <w:t>Шумерлинского</w:t>
      </w:r>
      <w:proofErr w:type="spellEnd"/>
      <w:r w:rsidRPr="00450FDB">
        <w:t xml:space="preserve"> района «Комплексное развитие сельских территорий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 </w:t>
      </w:r>
      <w:proofErr w:type="spellStart"/>
      <w:r w:rsidR="00DB6A50">
        <w:t>Шумерлинского</w:t>
      </w:r>
      <w:proofErr w:type="spellEnd"/>
      <w:r w:rsidRPr="00450FDB">
        <w:t xml:space="preserve"> района» (далее – Муниципальная программа).</w:t>
      </w:r>
    </w:p>
    <w:p w:rsidR="00816642" w:rsidRPr="00450FDB" w:rsidRDefault="00816642" w:rsidP="00816642">
      <w:pPr>
        <w:ind w:firstLine="709"/>
        <w:jc w:val="both"/>
      </w:pPr>
      <w:r w:rsidRPr="00450FDB">
        <w:t xml:space="preserve">2. Настоящее постановление вступает в силу после его официального опубликования в издании «Вестник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 </w:t>
      </w:r>
      <w:proofErr w:type="spellStart"/>
      <w:r w:rsidR="00DB6A50">
        <w:t>Шумерлинского</w:t>
      </w:r>
      <w:proofErr w:type="spellEnd"/>
      <w:r w:rsidRPr="00450FDB">
        <w:t xml:space="preserve"> района».</w:t>
      </w:r>
    </w:p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  <w:r w:rsidRPr="00450FDB">
        <w:t xml:space="preserve">Глава администрации </w:t>
      </w:r>
    </w:p>
    <w:p w:rsidR="00816642" w:rsidRPr="00450FDB" w:rsidRDefault="00DB6A50" w:rsidP="00816642">
      <w:proofErr w:type="spellStart"/>
      <w:r>
        <w:t>Нижнекумашкинского</w:t>
      </w:r>
      <w:proofErr w:type="spellEnd"/>
      <w:r>
        <w:t xml:space="preserve"> сельского поселения                                         В.В. Губанова</w:t>
      </w:r>
    </w:p>
    <w:p w:rsidR="00816642" w:rsidRPr="00450FDB" w:rsidRDefault="00816642" w:rsidP="00816642">
      <w:r w:rsidRPr="00450FDB">
        <w:br w:type="page"/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816642" w:rsidRPr="00450FDB" w:rsidTr="00677958">
        <w:tc>
          <w:tcPr>
            <w:tcW w:w="4785" w:type="dxa"/>
          </w:tcPr>
          <w:p w:rsidR="00816642" w:rsidRPr="00450FDB" w:rsidRDefault="00816642" w:rsidP="00677958">
            <w:pPr>
              <w:jc w:val="both"/>
            </w:pPr>
          </w:p>
          <w:p w:rsidR="00816642" w:rsidRPr="00450FDB" w:rsidRDefault="00816642" w:rsidP="00677958">
            <w:pPr>
              <w:jc w:val="both"/>
            </w:pPr>
          </w:p>
        </w:tc>
        <w:tc>
          <w:tcPr>
            <w:tcW w:w="4786" w:type="dxa"/>
          </w:tcPr>
          <w:p w:rsidR="00816642" w:rsidRPr="00450FDB" w:rsidRDefault="00816642" w:rsidP="00677958">
            <w:pPr>
              <w:jc w:val="both"/>
            </w:pPr>
            <w:r w:rsidRPr="00450FDB">
              <w:t xml:space="preserve">Утверждена </w:t>
            </w:r>
          </w:p>
          <w:p w:rsidR="00816642" w:rsidRPr="00450FDB" w:rsidRDefault="00816642" w:rsidP="00677958">
            <w:pPr>
              <w:jc w:val="both"/>
            </w:pPr>
            <w:r w:rsidRPr="00450FDB">
              <w:t xml:space="preserve">постановлением администрации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Pr="00450FDB">
              <w:t xml:space="preserve"> района Чувашской Республики </w:t>
            </w:r>
          </w:p>
          <w:p w:rsidR="00816642" w:rsidRPr="00450FDB" w:rsidRDefault="00816642" w:rsidP="00677958">
            <w:pPr>
              <w:jc w:val="both"/>
            </w:pPr>
            <w:r w:rsidRPr="00450FDB">
              <w:t xml:space="preserve">от </w:t>
            </w:r>
            <w:r w:rsidR="00070615" w:rsidRPr="00070615">
              <w:t>24.04.2020 г.  №  37</w:t>
            </w:r>
          </w:p>
        </w:tc>
      </w:tr>
    </w:tbl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</w:p>
    <w:p w:rsidR="00DB6A50" w:rsidRDefault="00816642" w:rsidP="00816642">
      <w:pPr>
        <w:jc w:val="center"/>
        <w:rPr>
          <w:b/>
        </w:rPr>
      </w:pPr>
      <w:r w:rsidRPr="00450FDB">
        <w:rPr>
          <w:b/>
        </w:rPr>
        <w:t xml:space="preserve">МУНИЦИПАЛЬНАЯ ПРОГРАММА </w:t>
      </w:r>
      <w:r w:rsidR="00DB6A50">
        <w:rPr>
          <w:b/>
        </w:rPr>
        <w:t>НИЖНЕКУМАШКИНСКОГО СЕЛЬСКОГО ПОСЕЛЕНИЯ ШУМЕРЛИНСКОГО</w:t>
      </w:r>
      <w:r w:rsidRPr="00450FDB">
        <w:rPr>
          <w:b/>
        </w:rPr>
        <w:t xml:space="preserve"> РАЙОНА ЧУВАШСКОЙ РЕСПУБЛИКИ «КОМПЛЕКСНОЕ РАЗВИТИЕ СЕЛЬСКИХ ТЕРРИТОРИЙ </w:t>
      </w:r>
      <w:r w:rsidR="00DB6A50">
        <w:rPr>
          <w:b/>
        </w:rPr>
        <w:t>НИЖНЕКУМАШКИНСКОГО СЕЛЬСКОГО ПОСЕЛЕНИЯ</w:t>
      </w:r>
    </w:p>
    <w:p w:rsidR="00816642" w:rsidRPr="00450FDB" w:rsidRDefault="00DB6A50" w:rsidP="00816642">
      <w:pPr>
        <w:jc w:val="center"/>
        <w:rPr>
          <w:b/>
        </w:rPr>
      </w:pPr>
      <w:r>
        <w:rPr>
          <w:b/>
        </w:rPr>
        <w:t xml:space="preserve"> ШУМЕРЛИНСКОГО</w:t>
      </w:r>
      <w:r w:rsidR="00816642" w:rsidRPr="00450FDB">
        <w:rPr>
          <w:b/>
        </w:rPr>
        <w:t xml:space="preserve"> РАЙОНА»</w:t>
      </w:r>
    </w:p>
    <w:p w:rsidR="00816642" w:rsidRPr="00450FDB" w:rsidRDefault="00816642" w:rsidP="00816642">
      <w:pPr>
        <w:jc w:val="center"/>
        <w:rPr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816642" w:rsidRPr="00450FDB" w:rsidTr="00677958">
        <w:tc>
          <w:tcPr>
            <w:tcW w:w="3936" w:type="dxa"/>
          </w:tcPr>
          <w:p w:rsidR="00816642" w:rsidRPr="00450FDB" w:rsidRDefault="00816642" w:rsidP="00677958">
            <w:pPr>
              <w:jc w:val="both"/>
            </w:pPr>
            <w:r w:rsidRPr="00450FDB">
              <w:t>Ответственный исполнитель:</w:t>
            </w:r>
          </w:p>
        </w:tc>
        <w:tc>
          <w:tcPr>
            <w:tcW w:w="5635" w:type="dxa"/>
          </w:tcPr>
          <w:p w:rsidR="00816642" w:rsidRPr="00450FDB" w:rsidRDefault="00DB6A50" w:rsidP="00677958">
            <w:pPr>
              <w:jc w:val="both"/>
            </w:pPr>
            <w:r>
              <w:t>А</w:t>
            </w:r>
            <w:r w:rsidR="00816642" w:rsidRPr="00450FDB">
              <w:t xml:space="preserve">дминистрации </w:t>
            </w:r>
            <w:proofErr w:type="spellStart"/>
            <w:r>
              <w:t>Нижнекумашкинского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Шумерлинского</w:t>
            </w:r>
            <w:proofErr w:type="spellEnd"/>
            <w:r w:rsidR="00816642" w:rsidRPr="00450FDB">
              <w:t xml:space="preserve"> района</w:t>
            </w:r>
          </w:p>
          <w:p w:rsidR="00816642" w:rsidRPr="00450FDB" w:rsidRDefault="00816642" w:rsidP="00677958">
            <w:pPr>
              <w:jc w:val="both"/>
            </w:pPr>
          </w:p>
        </w:tc>
      </w:tr>
      <w:tr w:rsidR="00816642" w:rsidRPr="00450FDB" w:rsidTr="00677958">
        <w:tc>
          <w:tcPr>
            <w:tcW w:w="3936" w:type="dxa"/>
          </w:tcPr>
          <w:p w:rsidR="00816642" w:rsidRPr="00450FDB" w:rsidRDefault="00816642" w:rsidP="00677958">
            <w:pPr>
              <w:jc w:val="both"/>
            </w:pPr>
            <w:r w:rsidRPr="00450FDB">
              <w:t>Дата составления проекта муниципальной программы:</w:t>
            </w:r>
          </w:p>
        </w:tc>
        <w:tc>
          <w:tcPr>
            <w:tcW w:w="5635" w:type="dxa"/>
          </w:tcPr>
          <w:p w:rsidR="00816642" w:rsidRPr="00450FDB" w:rsidRDefault="00DB6A50" w:rsidP="00677958">
            <w:pPr>
              <w:jc w:val="both"/>
              <w:rPr>
                <w:lang w:val="en-US"/>
              </w:rPr>
            </w:pPr>
            <w:r>
              <w:t xml:space="preserve">15 </w:t>
            </w:r>
            <w:r w:rsidR="00816642" w:rsidRPr="00450FDB">
              <w:t>апреля 2020 года</w:t>
            </w:r>
          </w:p>
          <w:p w:rsidR="00816642" w:rsidRPr="00450FDB" w:rsidRDefault="00816642" w:rsidP="00677958">
            <w:pPr>
              <w:jc w:val="both"/>
              <w:rPr>
                <w:lang w:val="en-US"/>
              </w:rPr>
            </w:pPr>
          </w:p>
          <w:p w:rsidR="00816642" w:rsidRPr="00450FDB" w:rsidRDefault="00816642" w:rsidP="00677958">
            <w:pPr>
              <w:jc w:val="both"/>
              <w:rPr>
                <w:lang w:val="en-US"/>
              </w:rPr>
            </w:pPr>
          </w:p>
        </w:tc>
      </w:tr>
      <w:tr w:rsidR="00816642" w:rsidRPr="00070615" w:rsidTr="00677958">
        <w:tc>
          <w:tcPr>
            <w:tcW w:w="3936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Непосредственный исполнитель Муниципальной программы:</w:t>
            </w:r>
          </w:p>
        </w:tc>
        <w:tc>
          <w:tcPr>
            <w:tcW w:w="5635" w:type="dxa"/>
          </w:tcPr>
          <w:p w:rsidR="00DB6A50" w:rsidRDefault="00816642" w:rsidP="00677958">
            <w:pPr>
              <w:pStyle w:val="ConsPlusNormal"/>
              <w:jc w:val="both"/>
            </w:pPr>
            <w:r w:rsidRPr="00450FDB">
              <w:t xml:space="preserve">администрации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Pr="00450FDB">
              <w:t xml:space="preserve"> района  </w:t>
            </w:r>
          </w:p>
          <w:p w:rsidR="00816642" w:rsidRPr="00450FDB" w:rsidRDefault="00816642" w:rsidP="00677958">
            <w:pPr>
              <w:pStyle w:val="ConsPlusNormal"/>
              <w:jc w:val="both"/>
              <w:rPr>
                <w:lang w:val="en-US"/>
              </w:rPr>
            </w:pPr>
            <w:r w:rsidRPr="00450FDB">
              <w:rPr>
                <w:lang w:val="en-US" w:eastAsia="en-US"/>
              </w:rPr>
              <w:t>(</w:t>
            </w:r>
            <w:r w:rsidRPr="00450FDB">
              <w:rPr>
                <w:lang w:eastAsia="en-US"/>
              </w:rPr>
              <w:t>т</w:t>
            </w:r>
            <w:r w:rsidR="00DB6A50" w:rsidRPr="00DB6A50">
              <w:rPr>
                <w:lang w:val="en-US" w:eastAsia="en-US"/>
              </w:rPr>
              <w:t>88353660731</w:t>
            </w:r>
            <w:r w:rsidRPr="00450FDB">
              <w:rPr>
                <w:lang w:val="en-US" w:eastAsia="en-US"/>
              </w:rPr>
              <w:t xml:space="preserve">, e-mail: </w:t>
            </w:r>
            <w:hyperlink r:id="rId9" w:history="1">
              <w:r w:rsidR="00DB6A50" w:rsidRPr="00354AAC">
                <w:rPr>
                  <w:rStyle w:val="ae"/>
                  <w:shd w:val="clear" w:color="auto" w:fill="FFFFFF"/>
                  <w:lang w:val="en-US"/>
                </w:rPr>
                <w:t>shumsao-nizn@cap.ru</w:t>
              </w:r>
            </w:hyperlink>
            <w:r w:rsidRPr="00450FDB">
              <w:rPr>
                <w:lang w:val="en-US" w:eastAsia="en-US"/>
              </w:rPr>
              <w:t>)</w:t>
            </w:r>
          </w:p>
          <w:p w:rsidR="00816642" w:rsidRPr="00450FDB" w:rsidRDefault="00816642" w:rsidP="00677958">
            <w:pPr>
              <w:pStyle w:val="ConsPlusNormal"/>
              <w:ind w:left="185"/>
              <w:jc w:val="both"/>
              <w:rPr>
                <w:lang w:val="en-US"/>
              </w:rPr>
            </w:pPr>
          </w:p>
          <w:p w:rsidR="00816642" w:rsidRPr="00450FDB" w:rsidRDefault="00816642" w:rsidP="00677958">
            <w:pPr>
              <w:pStyle w:val="ConsPlusNormal"/>
              <w:ind w:left="185"/>
              <w:jc w:val="both"/>
              <w:rPr>
                <w:lang w:val="en-US"/>
              </w:rPr>
            </w:pPr>
          </w:p>
        </w:tc>
      </w:tr>
      <w:tr w:rsidR="00816642" w:rsidRPr="00450FDB" w:rsidTr="00677958">
        <w:tc>
          <w:tcPr>
            <w:tcW w:w="3936" w:type="dxa"/>
            <w:vAlign w:val="bottom"/>
          </w:tcPr>
          <w:p w:rsidR="00816642" w:rsidRPr="00450FDB" w:rsidRDefault="00816642" w:rsidP="00677958">
            <w:pPr>
              <w:pStyle w:val="ConsPlusNormal"/>
            </w:pPr>
            <w:r w:rsidRPr="00450FDB">
              <w:t xml:space="preserve">Глава администрации </w:t>
            </w:r>
          </w:p>
          <w:p w:rsidR="00816642" w:rsidRPr="00450FDB" w:rsidRDefault="00DB6A50" w:rsidP="00DB6A50">
            <w:pPr>
              <w:pStyle w:val="ConsPlusNormal"/>
            </w:pPr>
            <w:proofErr w:type="spellStart"/>
            <w:r>
              <w:t>Нижнекумашкинского</w:t>
            </w:r>
            <w:proofErr w:type="spellEnd"/>
            <w:r>
              <w:t xml:space="preserve"> сельского поселения </w:t>
            </w:r>
          </w:p>
        </w:tc>
        <w:tc>
          <w:tcPr>
            <w:tcW w:w="5635" w:type="dxa"/>
            <w:vAlign w:val="bottom"/>
          </w:tcPr>
          <w:p w:rsidR="00816642" w:rsidRPr="00DB6A50" w:rsidRDefault="00DB6A50" w:rsidP="00677958">
            <w:pPr>
              <w:pStyle w:val="ConsPlusNormal"/>
              <w:jc w:val="right"/>
            </w:pPr>
            <w:r>
              <w:t>В.В. Губанова</w:t>
            </w:r>
          </w:p>
        </w:tc>
      </w:tr>
    </w:tbl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jc w:val="both"/>
      </w:pPr>
    </w:p>
    <w:p w:rsidR="00816642" w:rsidRPr="00450FDB" w:rsidRDefault="00816642" w:rsidP="00816642">
      <w:pPr>
        <w:rPr>
          <w:rFonts w:eastAsiaTheme="minorHAnsi"/>
          <w:lang w:eastAsia="en-US"/>
        </w:rPr>
      </w:pPr>
      <w:r w:rsidRPr="00450FDB">
        <w:br w:type="page"/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16642" w:rsidRPr="00450FDB" w:rsidRDefault="00816642" w:rsidP="00816642">
      <w:pPr>
        <w:jc w:val="center"/>
        <w:rPr>
          <w:b/>
        </w:rPr>
      </w:pPr>
      <w:bookmarkStart w:id="1" w:name="P6582"/>
      <w:bookmarkEnd w:id="1"/>
      <w:r w:rsidRPr="00450FDB">
        <w:rPr>
          <w:b/>
        </w:rPr>
        <w:t xml:space="preserve">Паспорт 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муниципальной программы </w:t>
      </w:r>
      <w:proofErr w:type="spellStart"/>
      <w:r w:rsidR="00DB6A50">
        <w:rPr>
          <w:b/>
        </w:rPr>
        <w:t>Нижнекумашкинского</w:t>
      </w:r>
      <w:proofErr w:type="spellEnd"/>
      <w:r w:rsidR="00DB6A50">
        <w:rPr>
          <w:b/>
        </w:rPr>
        <w:t xml:space="preserve"> сельского поселения </w:t>
      </w:r>
      <w:proofErr w:type="spellStart"/>
      <w:r w:rsidR="00DB6A50">
        <w:rPr>
          <w:b/>
        </w:rPr>
        <w:t>Шумерлинского</w:t>
      </w:r>
      <w:proofErr w:type="spellEnd"/>
      <w:r w:rsidRPr="00450FDB">
        <w:rPr>
          <w:b/>
        </w:rPr>
        <w:t xml:space="preserve"> района Чувашской Республики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 xml:space="preserve"> «Комплексное развитие сельских территорий </w:t>
      </w:r>
      <w:proofErr w:type="spellStart"/>
      <w:r w:rsidR="00DB6A50">
        <w:rPr>
          <w:b/>
        </w:rPr>
        <w:t>Нижнекумашкинского</w:t>
      </w:r>
      <w:proofErr w:type="spellEnd"/>
      <w:r w:rsidR="00DB6A50">
        <w:rPr>
          <w:b/>
        </w:rPr>
        <w:t xml:space="preserve"> сельского поселения </w:t>
      </w:r>
      <w:proofErr w:type="spellStart"/>
      <w:r w:rsidR="00DB6A50">
        <w:rPr>
          <w:b/>
        </w:rPr>
        <w:t>Шумерлинского</w:t>
      </w:r>
      <w:proofErr w:type="spellEnd"/>
      <w:r w:rsidRPr="00450FDB">
        <w:rPr>
          <w:b/>
        </w:rPr>
        <w:t xml:space="preserve"> района</w:t>
      </w:r>
      <w:r w:rsidR="00DB6A50">
        <w:rPr>
          <w:b/>
        </w:rPr>
        <w:t>»</w:t>
      </w:r>
    </w:p>
    <w:p w:rsidR="00816642" w:rsidRPr="00450FDB" w:rsidRDefault="00816642" w:rsidP="008166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DB6A50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16642"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="00816642"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B6A5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B6A50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B6A5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DB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6A50" w:rsidRPr="00DB6A50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  <w:r w:rsidR="00DB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Шумерлинский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межтерриториальный медицинский центр» </w:t>
            </w:r>
            <w:proofErr w:type="spellStart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</w:tr>
      <w:tr w:rsidR="00816642" w:rsidRPr="00450FDB" w:rsidTr="00021F3C">
        <w:trPr>
          <w:trHeight w:val="897"/>
        </w:trPr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-"</w:t>
            </w:r>
            <w:hyperlink w:anchor="Par1932" w:tooltip="ПОДПРОГРАММА" w:history="1">
              <w:r w:rsidRPr="00450FDB">
                <w:t>Создание и развитие инфраструктуры</w:t>
              </w:r>
            </w:hyperlink>
            <w:r w:rsidRPr="00450FDB">
              <w:t xml:space="preserve"> на сельских территориях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Pr="00450FDB">
              <w:t xml:space="preserve"> района";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сохранение доли сельского населения в общей численности населения Чувашской Республики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816642" w:rsidRPr="00FE1F23" w:rsidRDefault="00816642" w:rsidP="00677958">
            <w:pPr>
              <w:pStyle w:val="ConsPlusNormal"/>
              <w:jc w:val="both"/>
            </w:pPr>
            <w:r w:rsidRPr="00FE1F23">
              <w:t>поддержка инициатив граждан, проживающих на сельских территориях, по улучшению условий жизнедеятельности;</w:t>
            </w:r>
          </w:p>
          <w:p w:rsidR="00816642" w:rsidRPr="00FE1F23" w:rsidRDefault="00816642" w:rsidP="00677958">
            <w:pPr>
              <w:pStyle w:val="ConsPlusNormal"/>
              <w:jc w:val="both"/>
            </w:pPr>
            <w:r w:rsidRPr="00FE1F23">
              <w:t>содействие в повышении уровня занятости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F23">
              <w:rPr>
                <w:rFonts w:ascii="Times New Roman" w:hAnsi="Times New Roman" w:cs="Times New Roman"/>
                <w:sz w:val="24"/>
                <w:szCs w:val="24"/>
              </w:rPr>
              <w:t>создание комфортных и экологически благоприятных условий проживания на сельских территориях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2025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сохранение доли сельского населения в общей численности населения Чувашской Республики - 25 процентов;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Объемы финансирования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с разбивкой по годам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годах составляют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3375,5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3146,4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="00DB6A50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="00DB6A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="00DB6A5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803,1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2021 году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2022 году – </w:t>
            </w:r>
            <w:r w:rsidR="00FE1F23">
              <w:rPr>
                <w:rFonts w:ascii="Times New Roman" w:hAnsi="Times New Roman" w:cs="Times New Roman"/>
                <w:sz w:val="24"/>
                <w:szCs w:val="24"/>
              </w:rPr>
              <w:t>110,2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3D2BFD">
              <w:rPr>
                <w:rFonts w:ascii="Times New Roman" w:hAnsi="Times New Roman" w:cs="Times New Roman"/>
                <w:sz w:val="24"/>
                <w:szCs w:val="24"/>
              </w:rPr>
              <w:t>276,5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рублей.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удовлетворение потребности организаций в квалифицированных трудовых кадрах;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качества жизни и уровня благосостояния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занятости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создание комфортных и экологически благоприятных условий проживания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транспортной доступности сельских населенных пунктов, развитие телекоммуникационной, инженерной, социальной инфраструктуры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улучшение демографической ситуации в сельской местности и сохранение тенденций роста рождаемости и </w:t>
            </w:r>
            <w:r w:rsidRPr="00450FDB">
              <w:lastRenderedPageBreak/>
              <w:t>повышения продолжительности жизни сельского населения;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spacing w:after="200" w:line="276" w:lineRule="auto"/>
        <w:rPr>
          <w:b/>
        </w:rPr>
      </w:pPr>
      <w:r w:rsidRPr="00450FDB">
        <w:rPr>
          <w:b/>
        </w:rPr>
        <w:br w:type="page"/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lastRenderedPageBreak/>
        <w:t>Раздел 1. ПРИОРИТЕТЫ МУНИЦИПАЛЬНОЙ ПОЛИТИКИ</w:t>
      </w:r>
    </w:p>
    <w:p w:rsidR="00816642" w:rsidRPr="00450FDB" w:rsidRDefault="00816642" w:rsidP="00816642">
      <w:pPr>
        <w:jc w:val="center"/>
        <w:rPr>
          <w:b/>
        </w:rPr>
      </w:pPr>
      <w:r w:rsidRPr="00450FDB">
        <w:rPr>
          <w:b/>
        </w:rPr>
        <w:t>В СФЕРЕ РЕАЛИЗАЦИИ МУНИЦИПАЛЬНОЙ ПРОГРАММЫ, ЦЕЛИ, ЗАДАЧИ,</w:t>
      </w:r>
    </w:p>
    <w:p w:rsidR="00816642" w:rsidRPr="00450FDB" w:rsidRDefault="00816642" w:rsidP="00816642">
      <w:pPr>
        <w:jc w:val="center"/>
      </w:pPr>
      <w:r w:rsidRPr="00450FDB">
        <w:rPr>
          <w:b/>
        </w:rPr>
        <w:t>ОПИСАНИЕ СРОКОВ РЕАЛИЗАЦИИ МУНИЦИПАЛЬНОЙ ПРОГРАММЫ</w:t>
      </w: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6642" w:rsidRPr="00450FDB" w:rsidRDefault="00816642" w:rsidP="00816642">
      <w:pPr>
        <w:pStyle w:val="ConsPlusNormal"/>
        <w:ind w:firstLine="540"/>
        <w:jc w:val="both"/>
      </w:pPr>
      <w:proofErr w:type="gramStart"/>
      <w:r w:rsidRPr="00450FDB">
        <w:t xml:space="preserve">Приоритеты государственной политики в сфере комплексного развития сельских территорий определены государственной </w:t>
      </w:r>
      <w:hyperlink r:id="rId10" w:history="1">
        <w:r w:rsidRPr="00450FDB">
          <w:t>программой</w:t>
        </w:r>
      </w:hyperlink>
      <w:r w:rsidRPr="00450FDB">
        <w:t xml:space="preserve"> Российской Федерации "Комплексное развитие сельских территорий", утвержденной постановлением Правительства Российской Федерации от 31 мая 2019 г. N 696, </w:t>
      </w:r>
      <w:hyperlink r:id="rId11" w:history="1">
        <w:r w:rsidRPr="00450FDB">
          <w:t>Стратегией</w:t>
        </w:r>
      </w:hyperlink>
      <w:r w:rsidRPr="00450FDB">
        <w:t xml:space="preserve"> устойчивого развития сельских территорий Российской Федерации на период до 2030 года, утвержденной распоряжением Правительства Российской Федерации от 2 февраля 2015 г. N 151-р, </w:t>
      </w:r>
      <w:hyperlink r:id="rId12" w:history="1">
        <w:r w:rsidRPr="00450FDB">
          <w:t>Стратегией</w:t>
        </w:r>
      </w:hyperlink>
      <w:r w:rsidRPr="00450FDB">
        <w:t xml:space="preserve"> пространственного развития Российской Федерации до</w:t>
      </w:r>
      <w:proofErr w:type="gramEnd"/>
      <w:r w:rsidRPr="00450FDB">
        <w:t xml:space="preserve"> 2025 года, утвержденной распоряжением Правительства Российской Федерации от 13 февраля 2019 г. N 207-р, </w:t>
      </w:r>
      <w:hyperlink r:id="rId13" w:history="1">
        <w:r w:rsidRPr="00450FDB">
          <w:t>Стратегией</w:t>
        </w:r>
      </w:hyperlink>
      <w:r w:rsidRPr="00450FDB">
        <w:t xml:space="preserve"> социально-экономического развития Чувашской Республики до 2035 года, утвержденной постановлением Кабинета Министров Чувашской Республики от 28 июня 2018 г. N 254.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Муниципальная программа направлена на достижение следующих основных целей: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повышение качества жизни и уровня благосостояния сельского населения</w:t>
      </w:r>
      <w:r w:rsidR="003D2BFD">
        <w:t xml:space="preserve"> </w:t>
      </w:r>
      <w:proofErr w:type="spellStart"/>
      <w:r w:rsidR="003D2BFD">
        <w:t>Нижнекумашкинского</w:t>
      </w:r>
      <w:proofErr w:type="spellEnd"/>
      <w:r w:rsidR="003D2BFD">
        <w:t xml:space="preserve"> сельского поселения</w:t>
      </w:r>
      <w:r w:rsidRPr="00450FDB">
        <w:t>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сохранение доли сельского населения в общей численности населения.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Для достижения указанных целей в рамках реализации муниципальной программы предусматривается решение следующих задач: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удовлетворение потребности сельского населения в благоустроенном жилье;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поддержка инициатив граждан, проживающих на сельских территориях, по улучшению условий жизнедеятельности;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содействие в повышении уровня занятости населения;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создание комфортных и экологически благоприятных условий проживания на сельских территориях.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Муниципальная программа будет реализовываться в 2020 - 2025 годах. Муниципальная программа не предусматривает выделение отдельных этапов.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К целевым показателям (индикаторам)  муниципальной программы относятся: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Количество реализованных проектов по обустройству социальной, коммунальной, инженерной и транспортной инфраструктуры. 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Повышение доли общей площади благоустроенных жилых помещений в сельских населенных пунктах.</w:t>
      </w:r>
    </w:p>
    <w:p w:rsidR="00816642" w:rsidRPr="00450FDB" w:rsidRDefault="00070615" w:rsidP="00816642">
      <w:pPr>
        <w:pStyle w:val="ConsPlusNormal"/>
        <w:ind w:firstLine="540"/>
        <w:jc w:val="both"/>
      </w:pPr>
      <w:hyperlink w:anchor="Par244" w:tooltip="СВЕДЕНИЯ" w:history="1">
        <w:r w:rsidR="00816642" w:rsidRPr="00450FDB">
          <w:t>Сведения</w:t>
        </w:r>
      </w:hyperlink>
      <w:r w:rsidR="00816642" w:rsidRPr="00450FDB">
        <w:t xml:space="preserve"> о целевых показателях (индикаторах) муниципальной программы, подпрограмм муниципальной программы и их значениях приведены в приложении N 1 к настоящей муниципальной программе.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Перечень целевых показателей (индикаторов) носит открытый характер и предусматривает возможность корректировки в случае потери информативности целевого показателя (индикатора) (достижения максимального значения) и изменения приоритетов муниципальной политики в рассматриваемой сфере.</w:t>
      </w:r>
    </w:p>
    <w:p w:rsidR="00816642" w:rsidRPr="00450FDB" w:rsidRDefault="00816642" w:rsidP="008166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II. ОБОБЩЕННАЯ ХАРАКТЕРИСТИКА ОСНОВНЫХ МЕРОПРИЯТИЙ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ПОДПРОГРАММ МУНИЦИПАЛЬНОЙ 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Достижение целей и решение задач муниципальной программы будут осуществляться в рамках реализации следующих подпрограмм муниципальной программы: "Создание и развитие инфраструктуры на сельских территориях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 </w:t>
      </w:r>
      <w:proofErr w:type="spellStart"/>
      <w:r w:rsidR="00DB6A50">
        <w:t>Шумерлинского</w:t>
      </w:r>
      <w:proofErr w:type="spellEnd"/>
      <w:r w:rsidRPr="00450FDB">
        <w:t xml:space="preserve"> района".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Подпрограмма "Создание и развитие инфраструктуры на сельских территориях </w:t>
      </w:r>
      <w:proofErr w:type="spellStart"/>
      <w:r w:rsidR="00DB6A50">
        <w:lastRenderedPageBreak/>
        <w:t>Нижнекумашкинского</w:t>
      </w:r>
      <w:proofErr w:type="spellEnd"/>
      <w:r w:rsidR="00DB6A50">
        <w:t xml:space="preserve"> сельского поселения </w:t>
      </w:r>
      <w:proofErr w:type="spellStart"/>
      <w:r w:rsidR="00DB6A50">
        <w:t>Шумерлинского</w:t>
      </w:r>
      <w:proofErr w:type="spellEnd"/>
      <w:r w:rsidRPr="00450FDB">
        <w:t xml:space="preserve"> района".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Основное мероприятие 1. 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рамках данного мероприятия предусматривается реализация следующих мероприятий: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развитие газификации в сельской местности в рамках обеспечения комплексного развития сельских территорий;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развитие водоснабжения в сельской местности в рамках обеспечения комплексного развития сельских территорий;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реализация проектов комплексного обустройства площадок под компактную жилищную застройку;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реализация проектов комплексного развития сельских территорий или сельских агломераций;</w:t>
      </w:r>
    </w:p>
    <w:p w:rsidR="00816642" w:rsidRPr="00450FDB" w:rsidRDefault="00816642" w:rsidP="00816642">
      <w:pPr>
        <w:pStyle w:val="ConsPlusNormal"/>
        <w:ind w:firstLine="540"/>
        <w:jc w:val="both"/>
      </w:pPr>
      <w:proofErr w:type="gramStart"/>
      <w:r w:rsidRPr="00450FDB">
        <w:t>проектирование и строительство (реконструкция)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в том числе строительство (реконструкция)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</w:t>
      </w:r>
      <w:proofErr w:type="gramEnd"/>
      <w:r w:rsidRPr="00450FDB">
        <w:t xml:space="preserve"> переработки сельскохозяйственной продукции, в рамках развития транспортной инфраструктуры на сельских территориях;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проектирование, строительство,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поселений;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реализация проектов развития общественной инфраструктуры, основанных на местных инициативах;</w:t>
      </w:r>
    </w:p>
    <w:p w:rsidR="00816642" w:rsidRDefault="00816642" w:rsidP="00816642">
      <w:pPr>
        <w:pStyle w:val="ConsPlusNormal"/>
        <w:ind w:firstLine="540"/>
        <w:jc w:val="both"/>
      </w:pPr>
      <w:r w:rsidRPr="00450FDB">
        <w:t>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застройку.</w:t>
      </w:r>
    </w:p>
    <w:p w:rsidR="00816642" w:rsidRPr="00450FDB" w:rsidRDefault="00816642" w:rsidP="00816642">
      <w:pPr>
        <w:pStyle w:val="ConsPlusNormal"/>
        <w:ind w:firstLine="539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</w:p>
    <w:p w:rsidR="00816642" w:rsidRPr="00450FDB" w:rsidRDefault="00816642" w:rsidP="00816642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III.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МУНИЦИПАЛЬНОЙ 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Расходы муниципальной программы формируются за счет средств федерального бюджета, республиканского бюджета Чувашской Республики, бюджета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 </w:t>
      </w:r>
      <w:proofErr w:type="spellStart"/>
      <w:r w:rsidR="00DB6A50">
        <w:t>Шумерлинского</w:t>
      </w:r>
      <w:proofErr w:type="spellEnd"/>
      <w:r w:rsidRPr="00450FDB">
        <w:t xml:space="preserve"> района и средств внебюджетных источников.</w:t>
      </w:r>
    </w:p>
    <w:p w:rsidR="003D2BFD" w:rsidRPr="003D2BFD" w:rsidRDefault="00816642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50FDB">
        <w:rPr>
          <w:rFonts w:ascii="Times New Roman" w:hAnsi="Times New Roman" w:cs="Times New Roman"/>
          <w:sz w:val="24"/>
          <w:szCs w:val="24"/>
        </w:rPr>
        <w:t xml:space="preserve">Прогнозируемый объем финансирования муниципальной программы в 2020 - 2025 годах составляют </w:t>
      </w:r>
      <w:r w:rsidR="006C0985">
        <w:rPr>
          <w:rFonts w:ascii="Times New Roman" w:hAnsi="Times New Roman" w:cs="Times New Roman"/>
          <w:sz w:val="24"/>
          <w:szCs w:val="24"/>
        </w:rPr>
        <w:t>3375,5</w:t>
      </w:r>
      <w:r w:rsidR="003D2BFD" w:rsidRPr="003D2BF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6C0985">
        <w:rPr>
          <w:rFonts w:ascii="Times New Roman" w:hAnsi="Times New Roman" w:cs="Times New Roman"/>
          <w:sz w:val="24"/>
          <w:szCs w:val="24"/>
        </w:rPr>
        <w:t>3146,4</w:t>
      </w:r>
      <w:r w:rsidRPr="003D2BF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118,9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 110,2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федерального бюджета – 0 тыс. рублей, в том числе: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lastRenderedPageBreak/>
        <w:t>в 2023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C0985">
        <w:rPr>
          <w:rFonts w:ascii="Times New Roman" w:hAnsi="Times New Roman" w:cs="Times New Roman"/>
          <w:sz w:val="24"/>
          <w:szCs w:val="24"/>
        </w:rPr>
        <w:t>2295,9</w:t>
      </w:r>
      <w:r w:rsidRPr="003D2BF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6C0985">
        <w:rPr>
          <w:rFonts w:ascii="Times New Roman" w:hAnsi="Times New Roman" w:cs="Times New Roman"/>
          <w:sz w:val="24"/>
          <w:szCs w:val="24"/>
        </w:rPr>
        <w:t>2295,9</w:t>
      </w:r>
      <w:r w:rsidRPr="003D2BF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3D2BF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3D2B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BF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D2BFD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6C0985">
        <w:rPr>
          <w:rFonts w:ascii="Times New Roman" w:hAnsi="Times New Roman" w:cs="Times New Roman"/>
          <w:sz w:val="24"/>
          <w:szCs w:val="24"/>
        </w:rPr>
        <w:t>803,1</w:t>
      </w:r>
      <w:r w:rsidRPr="003D2BF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6C0985">
        <w:rPr>
          <w:rFonts w:ascii="Times New Roman" w:hAnsi="Times New Roman" w:cs="Times New Roman"/>
          <w:sz w:val="24"/>
          <w:szCs w:val="24"/>
        </w:rPr>
        <w:t>574,0</w:t>
      </w:r>
      <w:r w:rsidRPr="003D2BFD">
        <w:rPr>
          <w:rFonts w:ascii="Times New Roman" w:hAnsi="Times New Roman" w:cs="Times New Roman"/>
          <w:sz w:val="24"/>
          <w:szCs w:val="24"/>
        </w:rPr>
        <w:t>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118,9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110,2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2020 году – 276,5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3D2BFD" w:rsidRP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D2BFD" w:rsidRDefault="003D2BFD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рублей.</w:t>
      </w:r>
    </w:p>
    <w:p w:rsidR="00816642" w:rsidRPr="003D2BFD" w:rsidRDefault="00816642" w:rsidP="003D2BFD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Ресурсное </w:t>
      </w:r>
      <w:hyperlink w:anchor="Par459" w:tooltip="РЕСУРСНОЕ ОБЕСПЕЧЕНИЕ" w:history="1">
        <w:r w:rsidRPr="00450FDB">
          <w:t>обеспечение</w:t>
        </w:r>
      </w:hyperlink>
      <w:r w:rsidRPr="00450FDB"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6642" w:rsidRPr="00450FDB" w:rsidRDefault="00816642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</w:pPr>
    </w:p>
    <w:p w:rsidR="00816642" w:rsidRPr="00450FDB" w:rsidRDefault="00816642" w:rsidP="00816642">
      <w:pPr>
        <w:pStyle w:val="ConsPlusNormal"/>
        <w:jc w:val="right"/>
        <w:outlineLvl w:val="1"/>
        <w:sectPr w:rsidR="00816642" w:rsidRPr="00450FDB" w:rsidSect="00021F3C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lastRenderedPageBreak/>
        <w:t>Приложение N 1</w:t>
      </w:r>
    </w:p>
    <w:p w:rsidR="003D2BFD" w:rsidRDefault="00816642" w:rsidP="00816642">
      <w:pPr>
        <w:pStyle w:val="ConsPlusNormal"/>
        <w:jc w:val="right"/>
      </w:pPr>
      <w:r w:rsidRPr="00450FDB">
        <w:t>к муниципальной программе</w:t>
      </w:r>
      <w:r w:rsidR="003D2BFD">
        <w:t xml:space="preserve">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</w:t>
      </w:r>
    </w:p>
    <w:p w:rsidR="00816642" w:rsidRPr="00450FDB" w:rsidRDefault="00DB6A50" w:rsidP="00816642">
      <w:pPr>
        <w:pStyle w:val="ConsPlusNormal"/>
        <w:jc w:val="right"/>
      </w:pPr>
      <w:r>
        <w:t xml:space="preserve"> </w:t>
      </w:r>
      <w:proofErr w:type="spellStart"/>
      <w:r>
        <w:t>Шумерлинского</w:t>
      </w:r>
      <w:proofErr w:type="spellEnd"/>
      <w:r w:rsidR="00816642" w:rsidRPr="00450FDB">
        <w:t xml:space="preserve"> района</w:t>
      </w:r>
      <w:r w:rsidR="003D2BFD">
        <w:t xml:space="preserve"> </w:t>
      </w:r>
      <w:r w:rsidR="00816642" w:rsidRPr="00450FDB">
        <w:t>Чувашской Республики</w:t>
      </w:r>
    </w:p>
    <w:p w:rsidR="003D2BFD" w:rsidRDefault="00816642" w:rsidP="00816642">
      <w:pPr>
        <w:pStyle w:val="ConsPlusNormal"/>
        <w:jc w:val="right"/>
      </w:pPr>
      <w:r w:rsidRPr="00450FDB">
        <w:t>"Комплексное развитие сельских</w:t>
      </w:r>
      <w:r w:rsidR="003D2BFD">
        <w:t xml:space="preserve"> </w:t>
      </w:r>
      <w:r w:rsidRPr="00450FDB">
        <w:t xml:space="preserve">территорий </w:t>
      </w:r>
    </w:p>
    <w:p w:rsidR="00816642" w:rsidRPr="00450FDB" w:rsidRDefault="00DB6A50" w:rsidP="00816642">
      <w:pPr>
        <w:pStyle w:val="ConsPlusNormal"/>
        <w:jc w:val="right"/>
      </w:pP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 w:rsidR="00816642" w:rsidRPr="00450FDB">
        <w:t xml:space="preserve">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2" w:name="Par244"/>
      <w:bookmarkEnd w:id="2"/>
      <w:r w:rsidRPr="00450FDB">
        <w:rPr>
          <w:rFonts w:ascii="Times New Roman" w:hAnsi="Times New Roman" w:cs="Times New Roman"/>
        </w:rPr>
        <w:t>СВЕДЕНИЯ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О ЦЕЛЕВЫХ ПОКАЗАТЕЛЯХ (ИНДИКАТОРАХ) </w:t>
      </w:r>
      <w:proofErr w:type="gramStart"/>
      <w:r w:rsidRPr="00450FDB">
        <w:rPr>
          <w:rFonts w:ascii="Times New Roman" w:hAnsi="Times New Roman" w:cs="Times New Roman"/>
        </w:rPr>
        <w:t>МУНИЦИПАЛЬНОЙ</w:t>
      </w:r>
      <w:proofErr w:type="gramEnd"/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 xml:space="preserve">ПРОГРАММЫ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 ЧУВАШСКОЙ РЕСПУБЛИКИ "КОМПЛЕКСНОЕ РАЗВИТИЕ СЕЛЬСКИХ ТЕРРИТОРИЙ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РАЙОНА", </w:t>
      </w:r>
      <w:r w:rsidR="003F335E"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 xml:space="preserve">ПОДПРОГРАММ МУНИЦИПАЛЬНОЙ  ПРОГРАММЫ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 ЧУВАШСКОЙ РЕСПУБЛИКИ "КОМПЛЕКСНОЕ РАЗВИТИЕ СЕЛЬСКИХ ТЕРРИТОРИЙ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РАЙОНА" И ИХ ЗНАЧЕНИЯХ</w:t>
      </w:r>
      <w:proofErr w:type="gram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6410"/>
        <w:gridCol w:w="1134"/>
        <w:gridCol w:w="1701"/>
        <w:gridCol w:w="851"/>
        <w:gridCol w:w="992"/>
        <w:gridCol w:w="992"/>
        <w:gridCol w:w="993"/>
        <w:gridCol w:w="992"/>
      </w:tblGrid>
      <w:tr w:rsidR="00816642" w:rsidRPr="00450FDB" w:rsidTr="00677958">
        <w:tc>
          <w:tcPr>
            <w:tcW w:w="39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N</w:t>
            </w:r>
          </w:p>
          <w:p w:rsidR="00816642" w:rsidRPr="00450FDB" w:rsidRDefault="00816642" w:rsidP="00677958">
            <w:pPr>
              <w:pStyle w:val="ConsPlusNormal"/>
              <w:jc w:val="center"/>
            </w:pPr>
            <w:proofErr w:type="spellStart"/>
            <w:r w:rsidRPr="00450FDB">
              <w:t>пп</w:t>
            </w:r>
            <w:proofErr w:type="spellEnd"/>
          </w:p>
        </w:tc>
        <w:tc>
          <w:tcPr>
            <w:tcW w:w="6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Целевой показатель (индикатор) (наименование)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Единица измерения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Значения целевых показателей (индикаторов)</w:t>
            </w:r>
          </w:p>
        </w:tc>
      </w:tr>
      <w:tr w:rsidR="00677958" w:rsidRPr="00450FDB" w:rsidTr="00677958">
        <w:tc>
          <w:tcPr>
            <w:tcW w:w="39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6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 w:rsidRPr="00450FDB">
              <w:t>10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9E27A1">
            <w:pPr>
              <w:pStyle w:val="ConsPlusNormal"/>
              <w:jc w:val="center"/>
            </w:pPr>
            <w:r>
              <w:t xml:space="preserve">Муниципальная программа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>
              <w:t xml:space="preserve"> района Чувашской Республики "Комплексное развитие сельских</w:t>
            </w:r>
            <w:r w:rsidR="009E27A1">
              <w:t xml:space="preserve"> </w:t>
            </w:r>
            <w:r>
              <w:t xml:space="preserve">территорий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>
              <w:t xml:space="preserve">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both"/>
            </w:pPr>
            <w:r>
              <w:t>Сохранение доли сельского населения в общей численности населения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Default="00677958" w:rsidP="00677958">
            <w:pPr>
              <w:pStyle w:val="ConsPlusNormal"/>
              <w:jc w:val="center"/>
            </w:pPr>
            <w:r>
              <w:t>25,0</w:t>
            </w:r>
          </w:p>
        </w:tc>
      </w:tr>
      <w:tr w:rsidR="00951603" w:rsidRPr="00450FDB" w:rsidTr="00677958">
        <w:tc>
          <w:tcPr>
            <w:tcW w:w="14459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03" w:rsidRPr="00450FDB" w:rsidRDefault="00951603" w:rsidP="00677958">
            <w:pPr>
              <w:pStyle w:val="ConsPlusNormal"/>
              <w:jc w:val="center"/>
              <w:outlineLvl w:val="2"/>
            </w:pPr>
            <w:r w:rsidRPr="00450FDB">
              <w:t xml:space="preserve">Подпрограмма "Создание и развитие инфраструктуры на сельских территориях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Pr="00450FDB">
              <w:t xml:space="preserve"> района"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1</w:t>
            </w:r>
            <w:r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Ввод в действие локальных водопроводов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9E27A1" w:rsidP="0067795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x</w:t>
            </w:r>
          </w:p>
        </w:tc>
      </w:tr>
      <w:tr w:rsidR="00677958" w:rsidRPr="00450FDB" w:rsidTr="00677958">
        <w:tc>
          <w:tcPr>
            <w:tcW w:w="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450FDB" w:rsidRDefault="00677958" w:rsidP="00677958">
            <w:pPr>
              <w:pStyle w:val="ConsPlusNormal"/>
              <w:jc w:val="center"/>
            </w:pPr>
            <w:r>
              <w:t>2</w:t>
            </w:r>
            <w:r w:rsidRPr="00450FDB">
              <w:t>.</w:t>
            </w:r>
          </w:p>
        </w:tc>
        <w:tc>
          <w:tcPr>
            <w:tcW w:w="6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both"/>
            </w:pPr>
            <w:r w:rsidRPr="00677958">
              <w:t>Количество реализованных проектов развития общественной инфраструктуры, основанных на местных инициативах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677958" w:rsidP="00677958">
            <w:pPr>
              <w:pStyle w:val="ConsPlusNormal"/>
              <w:jc w:val="center"/>
            </w:pPr>
            <w:r w:rsidRPr="00677958">
              <w:t>единиц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9E27A1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9E27A1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9E27A1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9E27A1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9E27A1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958" w:rsidRPr="00677958" w:rsidRDefault="009E27A1" w:rsidP="00677958">
            <w:pPr>
              <w:pStyle w:val="ConsPlusNormal"/>
              <w:jc w:val="center"/>
            </w:pPr>
            <w:r>
              <w:t>5</w:t>
            </w:r>
          </w:p>
        </w:tc>
      </w:tr>
    </w:tbl>
    <w:p w:rsidR="00816642" w:rsidRPr="00450FDB" w:rsidRDefault="00816642" w:rsidP="00816642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  <w:sectPr w:rsidR="00816642" w:rsidRPr="00450FDB" w:rsidSect="00021F3C">
          <w:pgSz w:w="16838" w:h="11906" w:orient="landscape"/>
          <w:pgMar w:top="907" w:right="1134" w:bottom="851" w:left="1134" w:header="709" w:footer="709" w:gutter="0"/>
          <w:cols w:space="708"/>
          <w:docGrid w:linePitch="360"/>
        </w:sectPr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lastRenderedPageBreak/>
        <w:t>Приложение N 2</w:t>
      </w:r>
    </w:p>
    <w:p w:rsidR="00C96EC0" w:rsidRDefault="00816642" w:rsidP="00816642">
      <w:pPr>
        <w:pStyle w:val="ConsPlusNormal"/>
        <w:jc w:val="right"/>
      </w:pPr>
      <w:r w:rsidRPr="00450FDB">
        <w:t>к муниципальной программе</w:t>
      </w:r>
      <w:r w:rsidR="00C96EC0">
        <w:t xml:space="preserve">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 </w:t>
      </w:r>
    </w:p>
    <w:p w:rsidR="00816642" w:rsidRPr="00450FDB" w:rsidRDefault="00DB6A50" w:rsidP="00816642">
      <w:pPr>
        <w:pStyle w:val="ConsPlusNormal"/>
        <w:jc w:val="right"/>
      </w:pPr>
      <w:proofErr w:type="spellStart"/>
      <w:r>
        <w:t>Шумерлинского</w:t>
      </w:r>
      <w:proofErr w:type="spellEnd"/>
      <w:r w:rsidR="00816642" w:rsidRPr="00450FDB">
        <w:t xml:space="preserve"> района Чувашской Республики</w:t>
      </w:r>
    </w:p>
    <w:p w:rsidR="00C96EC0" w:rsidRDefault="00816642" w:rsidP="00816642">
      <w:pPr>
        <w:pStyle w:val="ConsPlusNormal"/>
        <w:jc w:val="right"/>
      </w:pPr>
      <w:r w:rsidRPr="00450FDB">
        <w:t>"Комплексное развитие сельских</w:t>
      </w:r>
      <w:r w:rsidR="00C96EC0">
        <w:t xml:space="preserve"> </w:t>
      </w:r>
      <w:r w:rsidRPr="00450FDB">
        <w:t xml:space="preserve">территорий </w:t>
      </w:r>
      <w:proofErr w:type="spellStart"/>
      <w:r w:rsidR="00DB6A50">
        <w:t>Нижнекумашкинского</w:t>
      </w:r>
      <w:proofErr w:type="spellEnd"/>
      <w:r w:rsidR="00DB6A50">
        <w:t xml:space="preserve"> </w:t>
      </w:r>
    </w:p>
    <w:p w:rsidR="00816642" w:rsidRPr="00450FDB" w:rsidRDefault="00DB6A50" w:rsidP="00816642">
      <w:pPr>
        <w:pStyle w:val="ConsPlusNormal"/>
        <w:jc w:val="right"/>
      </w:pPr>
      <w:r>
        <w:t xml:space="preserve">сельского поселения </w:t>
      </w:r>
      <w:proofErr w:type="spellStart"/>
      <w:r>
        <w:t>Шумерлинского</w:t>
      </w:r>
      <w:proofErr w:type="spellEnd"/>
      <w:r w:rsidR="00816642" w:rsidRPr="00450FDB">
        <w:t xml:space="preserve">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3D2BFD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И ПРОГНОЗНАЯ (СПРАВОЧНАЯ) ОЦЕНКА РАСХОДОВ</w:t>
      </w:r>
      <w:r w:rsidR="009E27A1"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>ЗА СЧЕТ ВСЕХ ИСТОЧНИКОВ ФИНАНСИРОВАНИЯ РЕАЛИЗАЦИИ</w:t>
      </w:r>
      <w:r w:rsidR="009E27A1"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 xml:space="preserve">МУНИЦИПАЛЬНОЙ ПРОГРАММЫ </w:t>
      </w:r>
      <w:r w:rsidR="00DB6A50">
        <w:rPr>
          <w:rFonts w:ascii="Times New Roman" w:hAnsi="Times New Roman" w:cs="Times New Roman"/>
        </w:rPr>
        <w:t xml:space="preserve">НИЖНЕКУМАШКИНСКОГО СЕЛЬСКОГО ПОСЕЛЕНИЯ </w:t>
      </w:r>
    </w:p>
    <w:p w:rsidR="00816642" w:rsidRPr="00450FDB" w:rsidRDefault="00DB6A50" w:rsidP="0081664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ШУМЕРЛИНСКОГО</w:t>
      </w:r>
      <w:r w:rsidR="00816642" w:rsidRPr="00450FDB">
        <w:rPr>
          <w:rFonts w:ascii="Times New Roman" w:hAnsi="Times New Roman" w:cs="Times New Roman"/>
        </w:rPr>
        <w:t xml:space="preserve"> РАЙОНА ЧУВАШСКОЙ РЕСПУБЛИКИ</w:t>
      </w:r>
      <w:r w:rsidR="009E27A1">
        <w:rPr>
          <w:rFonts w:ascii="Times New Roman" w:hAnsi="Times New Roman" w:cs="Times New Roman"/>
        </w:rPr>
        <w:t xml:space="preserve"> </w:t>
      </w:r>
      <w:r w:rsidR="00816642" w:rsidRPr="00450FDB">
        <w:rPr>
          <w:rFonts w:ascii="Times New Roman" w:hAnsi="Times New Roman" w:cs="Times New Roman"/>
        </w:rPr>
        <w:t xml:space="preserve">"КОМПЛЕКСНОЕ РАЗВИТИЕ СЕЛЬСКИХ ТЕРРИТОРИЙ </w:t>
      </w:r>
      <w:r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="00816642" w:rsidRPr="00450FDB">
        <w:rPr>
          <w:rFonts w:ascii="Times New Roman" w:hAnsi="Times New Roman" w:cs="Times New Roman"/>
        </w:rPr>
        <w:t xml:space="preserve"> РАЙОНА 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8"/>
        <w:gridCol w:w="2324"/>
        <w:gridCol w:w="1020"/>
        <w:gridCol w:w="1039"/>
        <w:gridCol w:w="1846"/>
        <w:gridCol w:w="1024"/>
        <w:gridCol w:w="1024"/>
        <w:gridCol w:w="1024"/>
        <w:gridCol w:w="1024"/>
        <w:gridCol w:w="1024"/>
        <w:gridCol w:w="1024"/>
      </w:tblGrid>
      <w:tr w:rsidR="00816642" w:rsidRPr="00450FDB" w:rsidTr="003426FB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Наименование муниципальной программы (подпрограммы муниципальной программы, основного мероприятия)</w:t>
            </w:r>
          </w:p>
        </w:tc>
        <w:tc>
          <w:tcPr>
            <w:tcW w:w="2059" w:type="dxa"/>
            <w:gridSpan w:val="2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846" w:type="dxa"/>
            <w:vMerge w:val="restart"/>
          </w:tcPr>
          <w:p w:rsidR="00816642" w:rsidRPr="00B52096" w:rsidRDefault="00816642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144" w:type="dxa"/>
            <w:gridSpan w:val="6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816642" w:rsidRPr="00450FDB" w:rsidTr="003426FB">
        <w:tc>
          <w:tcPr>
            <w:tcW w:w="1568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816642" w:rsidRPr="00450FDB" w:rsidRDefault="00816642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1846" w:type="dxa"/>
            <w:vMerge/>
          </w:tcPr>
          <w:p w:rsidR="00816642" w:rsidRPr="00B52096" w:rsidRDefault="00816642" w:rsidP="006779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816642" w:rsidRPr="00450FDB" w:rsidTr="003426FB">
        <w:tc>
          <w:tcPr>
            <w:tcW w:w="1568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4</w:t>
            </w:r>
          </w:p>
        </w:tc>
        <w:tc>
          <w:tcPr>
            <w:tcW w:w="1846" w:type="dxa"/>
          </w:tcPr>
          <w:p w:rsidR="00816642" w:rsidRPr="00B52096" w:rsidRDefault="00816642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5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9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11</w:t>
            </w:r>
          </w:p>
        </w:tc>
      </w:tr>
      <w:tr w:rsidR="00816642" w:rsidRPr="00450FDB" w:rsidTr="003426FB">
        <w:tc>
          <w:tcPr>
            <w:tcW w:w="1568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Муниципальная программа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Pr="00450FDB">
              <w:t xml:space="preserve"> района </w:t>
            </w:r>
            <w:r w:rsidRPr="00450FDB">
              <w:lastRenderedPageBreak/>
              <w:t>Чувашской Республики</w:t>
            </w:r>
          </w:p>
        </w:tc>
        <w:tc>
          <w:tcPr>
            <w:tcW w:w="2324" w:type="dxa"/>
            <w:vMerge w:val="restart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 xml:space="preserve">"Комплексное развитие сельских территорий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Pr="00450FDB">
              <w:t xml:space="preserve"> района"</w:t>
            </w:r>
          </w:p>
        </w:tc>
        <w:tc>
          <w:tcPr>
            <w:tcW w:w="1020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816642" w:rsidRPr="00450FDB" w:rsidRDefault="00816642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816642" w:rsidRPr="00B52096" w:rsidRDefault="00816642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</w:tcPr>
          <w:p w:rsidR="00816642" w:rsidRPr="00450FDB" w:rsidRDefault="005D1483" w:rsidP="00677958">
            <w:pPr>
              <w:pStyle w:val="ConsPlusNormal"/>
              <w:jc w:val="center"/>
            </w:pPr>
            <w:r>
              <w:t>3146,4</w:t>
            </w:r>
          </w:p>
        </w:tc>
        <w:tc>
          <w:tcPr>
            <w:tcW w:w="1024" w:type="dxa"/>
          </w:tcPr>
          <w:p w:rsidR="00816642" w:rsidRPr="00450FDB" w:rsidRDefault="009A0076" w:rsidP="00677958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024" w:type="dxa"/>
          </w:tcPr>
          <w:p w:rsidR="00816642" w:rsidRPr="00450FDB" w:rsidRDefault="009A0076" w:rsidP="00677958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816642" w:rsidRPr="00450FDB" w:rsidRDefault="00816642" w:rsidP="00677958">
            <w:pPr>
              <w:jc w:val="center"/>
            </w:pPr>
            <w:r w:rsidRPr="00450FDB">
              <w:t>0,0</w:t>
            </w:r>
          </w:p>
        </w:tc>
      </w:tr>
      <w:tr w:rsidR="009A0076" w:rsidRPr="00450FDB" w:rsidTr="003426FB">
        <w:tc>
          <w:tcPr>
            <w:tcW w:w="1568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9A0076" w:rsidRPr="00B52096" w:rsidRDefault="009A0076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</w:tr>
      <w:tr w:rsidR="009A0076" w:rsidRPr="00450FDB" w:rsidTr="003426FB">
        <w:tc>
          <w:tcPr>
            <w:tcW w:w="1568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9A0076" w:rsidRPr="00B52096" w:rsidRDefault="009A0076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9A0076" w:rsidRPr="00450FDB" w:rsidRDefault="005D1483" w:rsidP="00677958">
            <w:pPr>
              <w:pStyle w:val="ConsPlusNormal"/>
              <w:jc w:val="center"/>
            </w:pPr>
            <w:r>
              <w:t>2295,9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</w:tr>
      <w:tr w:rsidR="009A0076" w:rsidRPr="00450FDB" w:rsidTr="003426FB">
        <w:tc>
          <w:tcPr>
            <w:tcW w:w="1568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9A0076" w:rsidRPr="00B52096" w:rsidRDefault="009A0076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 xml:space="preserve">бюджет </w:t>
            </w:r>
            <w:proofErr w:type="spellStart"/>
            <w:r w:rsidRPr="00B52096">
              <w:rPr>
                <w:sz w:val="22"/>
                <w:szCs w:val="22"/>
              </w:rPr>
              <w:t>Нижнекумашкинского</w:t>
            </w:r>
            <w:proofErr w:type="spellEnd"/>
            <w:r w:rsidRPr="00B520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52096">
              <w:rPr>
                <w:sz w:val="22"/>
                <w:szCs w:val="22"/>
              </w:rPr>
              <w:t>Шумерлинского</w:t>
            </w:r>
            <w:proofErr w:type="spellEnd"/>
            <w:r w:rsidRPr="00B5209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4" w:type="dxa"/>
          </w:tcPr>
          <w:p w:rsidR="009A0076" w:rsidRPr="00450FDB" w:rsidRDefault="005D1483" w:rsidP="00677958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</w:tr>
      <w:tr w:rsidR="009A0076" w:rsidRPr="00450FDB" w:rsidTr="003426FB">
        <w:tc>
          <w:tcPr>
            <w:tcW w:w="1568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9A0076" w:rsidRPr="00450FDB" w:rsidRDefault="009A0076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039" w:type="dxa"/>
          </w:tcPr>
          <w:p w:rsidR="009A0076" w:rsidRPr="00450FDB" w:rsidRDefault="009A0076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1846" w:type="dxa"/>
          </w:tcPr>
          <w:p w:rsidR="009A0076" w:rsidRPr="00B52096" w:rsidRDefault="009A0076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9A0076" w:rsidRPr="00450FDB" w:rsidRDefault="009A0076" w:rsidP="00677958">
            <w:pPr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 w:val="restart"/>
          </w:tcPr>
          <w:p w:rsidR="005D1483" w:rsidRPr="00450FDB" w:rsidRDefault="005D1483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24" w:type="dxa"/>
            <w:vMerge w:val="restart"/>
          </w:tcPr>
          <w:p w:rsidR="005D1483" w:rsidRPr="0081573C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81573C">
              <w:rPr>
                <w:sz w:val="22"/>
                <w:szCs w:val="22"/>
              </w:rPr>
              <w:t xml:space="preserve">"Создание и развитие инфраструктуры на сельских территориях </w:t>
            </w:r>
            <w:proofErr w:type="spellStart"/>
            <w:r w:rsidRPr="0081573C">
              <w:rPr>
                <w:sz w:val="22"/>
                <w:szCs w:val="22"/>
              </w:rPr>
              <w:t>Нижнекумашкинского</w:t>
            </w:r>
            <w:proofErr w:type="spellEnd"/>
            <w:r w:rsidRPr="0081573C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81573C">
              <w:rPr>
                <w:sz w:val="22"/>
                <w:szCs w:val="22"/>
              </w:rPr>
              <w:t>Шумерлинского</w:t>
            </w:r>
            <w:proofErr w:type="spellEnd"/>
            <w:r w:rsidRPr="0081573C">
              <w:rPr>
                <w:sz w:val="22"/>
                <w:szCs w:val="22"/>
              </w:rPr>
              <w:t xml:space="preserve"> района"</w:t>
            </w: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pStyle w:val="ConsPlusNormal"/>
              <w:jc w:val="center"/>
            </w:pPr>
            <w:r>
              <w:t>3146,4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pStyle w:val="ConsPlusNormal"/>
              <w:jc w:val="center"/>
            </w:pPr>
            <w:r>
              <w:t>2295,9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 xml:space="preserve">бюджет </w:t>
            </w:r>
            <w:proofErr w:type="spellStart"/>
            <w:r w:rsidRPr="00B52096">
              <w:rPr>
                <w:sz w:val="22"/>
                <w:szCs w:val="22"/>
              </w:rPr>
              <w:t>Нижнекумашкинского</w:t>
            </w:r>
            <w:proofErr w:type="spellEnd"/>
            <w:r w:rsidRPr="00B520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52096">
              <w:rPr>
                <w:sz w:val="22"/>
                <w:szCs w:val="22"/>
              </w:rPr>
              <w:t>Шумерлинского</w:t>
            </w:r>
            <w:proofErr w:type="spellEnd"/>
            <w:r w:rsidRPr="00B5209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 w:val="restart"/>
          </w:tcPr>
          <w:p w:rsidR="005D1483" w:rsidRPr="00450FDB" w:rsidRDefault="005D1483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24" w:type="dxa"/>
            <w:vMerge w:val="restart"/>
          </w:tcPr>
          <w:p w:rsidR="005D1483" w:rsidRPr="00450FDB" w:rsidRDefault="005D1483" w:rsidP="00677958">
            <w:pPr>
              <w:pStyle w:val="ConsPlusNormal"/>
              <w:jc w:val="both"/>
            </w:pPr>
            <w:r w:rsidRPr="00450FDB">
              <w:t xml:space="preserve">"Комплексное обустройство населенных пунктов, </w:t>
            </w:r>
            <w:r w:rsidRPr="00450FDB">
              <w:lastRenderedPageBreak/>
              <w:t>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pStyle w:val="ConsPlusNormal"/>
              <w:jc w:val="center"/>
            </w:pPr>
            <w:r>
              <w:t>3146,4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  <w:jc w:val="center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pStyle w:val="ConsPlusNormal"/>
              <w:jc w:val="center"/>
            </w:pPr>
            <w:r>
              <w:t>2295,9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 xml:space="preserve">бюджет </w:t>
            </w:r>
            <w:proofErr w:type="spellStart"/>
            <w:r w:rsidRPr="00B52096">
              <w:rPr>
                <w:sz w:val="22"/>
                <w:szCs w:val="22"/>
              </w:rPr>
              <w:t>Нижнекумашкинского</w:t>
            </w:r>
            <w:proofErr w:type="spellEnd"/>
            <w:r w:rsidRPr="00B52096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B52096">
              <w:rPr>
                <w:sz w:val="22"/>
                <w:szCs w:val="22"/>
              </w:rPr>
              <w:t>Шумерлинского</w:t>
            </w:r>
            <w:proofErr w:type="spellEnd"/>
            <w:r w:rsidRPr="00B52096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5D1483" w:rsidRPr="00450FDB" w:rsidTr="003426FB">
        <w:tc>
          <w:tcPr>
            <w:tcW w:w="1568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2324" w:type="dxa"/>
            <w:vMerge/>
          </w:tcPr>
          <w:p w:rsidR="005D1483" w:rsidRPr="00450FDB" w:rsidRDefault="005D1483" w:rsidP="00677958">
            <w:pPr>
              <w:pStyle w:val="ConsPlusNormal"/>
              <w:jc w:val="both"/>
            </w:pPr>
          </w:p>
        </w:tc>
        <w:tc>
          <w:tcPr>
            <w:tcW w:w="1020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039" w:type="dxa"/>
          </w:tcPr>
          <w:p w:rsidR="005D1483" w:rsidRPr="00450FDB" w:rsidRDefault="005D1483" w:rsidP="00677958">
            <w:pPr>
              <w:pStyle w:val="ConsPlusNormal"/>
            </w:pPr>
          </w:p>
        </w:tc>
        <w:tc>
          <w:tcPr>
            <w:tcW w:w="1846" w:type="dxa"/>
          </w:tcPr>
          <w:p w:rsidR="005D1483" w:rsidRPr="00B52096" w:rsidRDefault="005D1483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B5209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</w:tcPr>
          <w:p w:rsidR="005D1483" w:rsidRPr="00450FDB" w:rsidRDefault="005D1483" w:rsidP="00070615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C0985">
            <w:pPr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1024" w:type="dxa"/>
          </w:tcPr>
          <w:p w:rsidR="005D1483" w:rsidRPr="00450FDB" w:rsidRDefault="005D1483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</w:tbl>
    <w:p w:rsidR="00816642" w:rsidRPr="00450FDB" w:rsidRDefault="00816642" w:rsidP="00816642">
      <w:pPr>
        <w:pStyle w:val="ConsPlusNormal"/>
        <w:jc w:val="both"/>
        <w:sectPr w:rsidR="00816642" w:rsidRPr="00450FDB" w:rsidSect="00BB01C2">
          <w:headerReference w:type="default" r:id="rId14"/>
          <w:footerReference w:type="default" r:id="rId15"/>
          <w:pgSz w:w="16838" w:h="11906" w:orient="landscape"/>
          <w:pgMar w:top="851" w:right="1418" w:bottom="567" w:left="1418" w:header="0" w:footer="0" w:gutter="0"/>
          <w:cols w:space="720"/>
          <w:noEndnote/>
        </w:sectPr>
      </w:pPr>
    </w:p>
    <w:p w:rsidR="00816642" w:rsidRPr="00450FDB" w:rsidRDefault="00816642" w:rsidP="00816642">
      <w:pPr>
        <w:pStyle w:val="ConsPlusNormal"/>
        <w:jc w:val="right"/>
        <w:outlineLvl w:val="1"/>
      </w:pPr>
      <w:r w:rsidRPr="00450FDB">
        <w:lastRenderedPageBreak/>
        <w:t xml:space="preserve">Приложение N </w:t>
      </w:r>
      <w:r w:rsidR="003F335E">
        <w:t>3</w:t>
      </w:r>
    </w:p>
    <w:p w:rsidR="00816642" w:rsidRPr="00450FDB" w:rsidRDefault="00816642" w:rsidP="00816642">
      <w:pPr>
        <w:pStyle w:val="ConsPlusNormal"/>
        <w:jc w:val="right"/>
      </w:pPr>
      <w:r w:rsidRPr="00450FDB">
        <w:t xml:space="preserve">к муниципальной программе </w:t>
      </w:r>
    </w:p>
    <w:p w:rsidR="00B52096" w:rsidRDefault="00DB6A50" w:rsidP="00816642">
      <w:pPr>
        <w:pStyle w:val="ConsPlusNormal"/>
        <w:jc w:val="right"/>
      </w:pPr>
      <w:proofErr w:type="spellStart"/>
      <w:r>
        <w:t>Нижнекумашкинского</w:t>
      </w:r>
      <w:proofErr w:type="spellEnd"/>
      <w:r>
        <w:t xml:space="preserve"> сельского поселения </w:t>
      </w:r>
    </w:p>
    <w:p w:rsidR="00816642" w:rsidRPr="00450FDB" w:rsidRDefault="00DB6A50" w:rsidP="00816642">
      <w:pPr>
        <w:pStyle w:val="ConsPlusNormal"/>
        <w:jc w:val="right"/>
      </w:pPr>
      <w:proofErr w:type="spellStart"/>
      <w:r>
        <w:t>Шумерлинского</w:t>
      </w:r>
      <w:proofErr w:type="spellEnd"/>
      <w:r w:rsidR="00816642" w:rsidRPr="00450FDB">
        <w:t xml:space="preserve"> района</w:t>
      </w:r>
      <w:r w:rsidR="00B52096">
        <w:t xml:space="preserve"> </w:t>
      </w:r>
      <w:r w:rsidR="00816642" w:rsidRPr="00450FDB">
        <w:t>Чувашской Республики</w:t>
      </w:r>
    </w:p>
    <w:p w:rsidR="00B52096" w:rsidRDefault="00816642" w:rsidP="00816642">
      <w:pPr>
        <w:pStyle w:val="ConsPlusNormal"/>
        <w:jc w:val="right"/>
      </w:pPr>
      <w:r w:rsidRPr="00450FDB">
        <w:t>"Комплексное развитие сельских</w:t>
      </w:r>
      <w:r w:rsidR="00B52096">
        <w:t xml:space="preserve"> </w:t>
      </w:r>
      <w:r w:rsidRPr="00450FDB">
        <w:t xml:space="preserve">территорий </w:t>
      </w:r>
    </w:p>
    <w:p w:rsidR="00816642" w:rsidRPr="00450FDB" w:rsidRDefault="00DB6A50" w:rsidP="00816642">
      <w:pPr>
        <w:pStyle w:val="ConsPlusNormal"/>
        <w:jc w:val="right"/>
      </w:pPr>
      <w:proofErr w:type="spellStart"/>
      <w:r>
        <w:t>Нижнекумашкинского</w:t>
      </w:r>
      <w:proofErr w:type="spellEnd"/>
      <w:r>
        <w:t xml:space="preserve"> сельского поселения </w:t>
      </w:r>
      <w:proofErr w:type="spellStart"/>
      <w:r>
        <w:t>Шумерлинского</w:t>
      </w:r>
      <w:proofErr w:type="spellEnd"/>
      <w:r w:rsidR="00816642" w:rsidRPr="00450FDB">
        <w:t xml:space="preserve">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bookmarkStart w:id="3" w:name="Par1932"/>
      <w:bookmarkEnd w:id="3"/>
      <w:r w:rsidRPr="00450FDB">
        <w:rPr>
          <w:rFonts w:ascii="Times New Roman" w:hAnsi="Times New Roman" w:cs="Times New Roman"/>
        </w:rPr>
        <w:t>ПОДПРОГРАММА</w:t>
      </w:r>
    </w:p>
    <w:p w:rsidR="00B52096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"СОЗДАНИЕ И РАЗВИТИЕ ИНФРАСТРУКТУРЫ НА СЕЛЬСКИХ ТЕРРИТОРИЯХ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РАЙОНА"</w:t>
      </w:r>
      <w:r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 xml:space="preserve">МУНИЦИПАЛЬНОЙ ПРОГРАММЫ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 ЧУВАШСКОЙ РЕСПУБЛИКИ "КОМПЛЕКСНОЕ РАЗВИТИЕ СЕЛЬСКИХ ТЕРРИТОРИЙ </w:t>
      </w:r>
      <w:r w:rsidR="00DB6A50">
        <w:rPr>
          <w:rFonts w:ascii="Times New Roman" w:hAnsi="Times New Roman" w:cs="Times New Roman"/>
        </w:rPr>
        <w:t xml:space="preserve">НИЖНЕКУМАШКИНСКОГО СЕЛЬСКОГО ПОСЕЛЕНИЯ </w:t>
      </w:r>
    </w:p>
    <w:p w:rsidR="00816642" w:rsidRPr="00450FDB" w:rsidRDefault="00DB6A50" w:rsidP="0081664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ШУМЕРЛИНСКОГО</w:t>
      </w:r>
      <w:r w:rsidR="00816642" w:rsidRPr="00450FDB">
        <w:rPr>
          <w:rFonts w:ascii="Times New Roman" w:hAnsi="Times New Roman" w:cs="Times New Roman"/>
        </w:rPr>
        <w:t xml:space="preserve"> РАЙОНА"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Паспорт подпрограммы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Ответственный исполнитель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B52096" w:rsidP="00677958">
            <w:pPr>
              <w:pStyle w:val="ConsPlusNormal"/>
              <w:jc w:val="both"/>
            </w:pPr>
            <w:r>
              <w:t>А</w:t>
            </w:r>
            <w:r w:rsidR="00816642" w:rsidRPr="00450FDB">
              <w:t xml:space="preserve">дминистрации </w:t>
            </w:r>
            <w:proofErr w:type="spellStart"/>
            <w:r w:rsidR="00DB6A50">
              <w:t>Нижнекумашкинского</w:t>
            </w:r>
            <w:proofErr w:type="spellEnd"/>
            <w:r w:rsidR="00DB6A50">
              <w:t xml:space="preserve"> сельского поселения </w:t>
            </w:r>
            <w:proofErr w:type="spellStart"/>
            <w:r w:rsidR="00DB6A50">
              <w:t>Шумерлинского</w:t>
            </w:r>
            <w:proofErr w:type="spellEnd"/>
            <w:r w:rsidR="00816642" w:rsidRPr="00450FDB">
              <w:t xml:space="preserve"> района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Соисполнители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отдел сельского хозяйства и экологии администрации </w:t>
            </w:r>
            <w:proofErr w:type="spellStart"/>
            <w:r w:rsidR="00DB6A5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5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96" w:rsidRPr="00B52096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финансовый отдел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B6A5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5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96" w:rsidRPr="00B52096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экономики, имущественных и земельных отношений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B6A5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B52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2096" w:rsidRPr="00B52096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816642" w:rsidRPr="00450FDB" w:rsidRDefault="00816642" w:rsidP="00677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>отдел образования, спорта и молодежной политики</w:t>
            </w:r>
            <w:r w:rsidRPr="00450FDB">
              <w:rPr>
                <w:rFonts w:ascii="Times New Roman" w:hAnsi="Times New Roman" w:cs="Times New Roman"/>
              </w:rPr>
              <w:t xml:space="preserve"> </w:t>
            </w:r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spellStart"/>
            <w:r w:rsidR="00DB6A50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450FD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FA4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4063" w:rsidRPr="00FA4063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БУ «Шумерлинский межтерриториальный медицинский центр» </w:t>
            </w:r>
            <w:proofErr w:type="spellStart"/>
            <w:r w:rsidRPr="00450FDB">
              <w:t>Минздравсоцразвития</w:t>
            </w:r>
            <w:proofErr w:type="spellEnd"/>
            <w:r w:rsidRPr="00450FDB">
              <w:t xml:space="preserve"> Чувашской Республики (по согласованию)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обеспечение создания комфортных условий жизнедеятельности в сельской местности;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активизация участия граждан, проживающих на сельских территориях, в решении вопросов местного значения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Задачи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инженерной и социальной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развитие транспортной инфраструктуры на сельских территориях;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благоустройство сельских территорий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к 2022 году предусматривается достижение следующих 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ввод в действие локальных водопроводов – </w:t>
            </w:r>
            <w:r w:rsidR="00FA4063">
              <w:t>8,3</w:t>
            </w:r>
            <w:r w:rsidRPr="00450FDB">
              <w:t xml:space="preserve"> км;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 2025 году предусматривается достижение следующих </w:t>
            </w:r>
            <w:r w:rsidRPr="00450FDB">
              <w:lastRenderedPageBreak/>
              <w:t>целевых показателей (индикаторов):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 xml:space="preserve">количество реализованных проектов развития общественной инфраструктуры, основанных на местных </w:t>
            </w:r>
            <w:r w:rsidR="00677958">
              <w:t xml:space="preserve">инициативах, - </w:t>
            </w:r>
            <w:r w:rsidR="00FA4063">
              <w:t>25</w:t>
            </w:r>
            <w:r w:rsidRPr="00450FDB">
              <w:t xml:space="preserve"> единиц;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Срок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2020 - 2025 годы</w:t>
            </w: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Объемы финансирования реализации подпрограммы с разбивкой по годам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FA4063" w:rsidRPr="00FA4063" w:rsidRDefault="00816642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063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прогнозируемые объемы бюджетных ассигнований на реализацию мероприятий подпрограммы в 2020 - 2025 годах составляют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3375,5</w:t>
            </w:r>
            <w:r w:rsidR="00FA4063" w:rsidRPr="00FA406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3146,4</w:t>
            </w: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2021 году – 118,9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2022 году –  110,2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 тыс. рублей, в том числе: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республиканского бюджета Чувашской Республики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2295,9</w:t>
            </w: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 xml:space="preserve">бюджета </w:t>
            </w:r>
            <w:proofErr w:type="spellStart"/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Нижнекумашкинского</w:t>
            </w:r>
            <w:proofErr w:type="spellEnd"/>
            <w:r w:rsidRPr="003D2BF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Шумерлинского</w:t>
            </w:r>
            <w:proofErr w:type="spellEnd"/>
            <w:r w:rsidRPr="003D2BFD">
              <w:rPr>
                <w:rFonts w:ascii="Times New Roman" w:hAnsi="Times New Roman" w:cs="Times New Roman"/>
                <w:sz w:val="24"/>
                <w:szCs w:val="24"/>
              </w:rPr>
              <w:t xml:space="preserve"> района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803,1</w:t>
            </w: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6C0985">
              <w:rPr>
                <w:rFonts w:ascii="Times New Roman" w:hAnsi="Times New Roman" w:cs="Times New Roman"/>
                <w:sz w:val="24"/>
                <w:szCs w:val="24"/>
              </w:rPr>
              <w:t>574,0</w:t>
            </w: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2021 году – 118,9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2022 году – 110,2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рублей, в том числе: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2020 году – 276,5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FA4063" w:rsidRPr="003D2BFD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FA4063" w:rsidRDefault="00FA4063" w:rsidP="00FA406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BFD"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рублей.</w:t>
            </w:r>
          </w:p>
          <w:p w:rsidR="00816642" w:rsidRPr="00450FDB" w:rsidRDefault="00816642" w:rsidP="00677958">
            <w:pPr>
              <w:pStyle w:val="ConsPlusNormal"/>
              <w:jc w:val="both"/>
            </w:pPr>
          </w:p>
        </w:tc>
      </w:tr>
      <w:tr w:rsidR="00816642" w:rsidRPr="00450FDB" w:rsidTr="00677958">
        <w:tc>
          <w:tcPr>
            <w:tcW w:w="2551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lastRenderedPageBreak/>
              <w:t>Ожидаемые результаты реализации подпрограммы</w:t>
            </w:r>
          </w:p>
        </w:tc>
        <w:tc>
          <w:tcPr>
            <w:tcW w:w="340" w:type="dxa"/>
          </w:tcPr>
          <w:p w:rsidR="00816642" w:rsidRPr="00450FDB" w:rsidRDefault="00816642" w:rsidP="00677958">
            <w:pPr>
              <w:pStyle w:val="ConsPlusNormal"/>
              <w:jc w:val="right"/>
            </w:pPr>
            <w:r w:rsidRPr="00450FDB">
              <w:t>-</w:t>
            </w:r>
          </w:p>
        </w:tc>
        <w:tc>
          <w:tcPr>
            <w:tcW w:w="6180" w:type="dxa"/>
          </w:tcPr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уровня социально-инженерного обустройства сельских территорий;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снижение миграционного оттока сельского населения;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преодоление оторванности жителей села от социальных учреждений, более полное удовлетворение их общественно-культурных потребностей;</w:t>
            </w:r>
          </w:p>
          <w:p w:rsidR="00816642" w:rsidRPr="00450FDB" w:rsidRDefault="00816642" w:rsidP="00677958">
            <w:pPr>
              <w:pStyle w:val="ConsPlusNormal"/>
              <w:jc w:val="both"/>
            </w:pPr>
            <w:r w:rsidRPr="00450FDB">
              <w:t>повышение общественной значимости развития сельских территорий и привлекательности сельской местности для проживания и работы.</w:t>
            </w:r>
          </w:p>
        </w:tc>
      </w:tr>
    </w:tbl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I. ПРИОРИТЕТЫ И ЦЕЛИ ПОДПРОГРАММЫ,</w:t>
      </w:r>
    </w:p>
    <w:p w:rsidR="00816642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ОБЩАЯ ХАРАКТЕРИСТИКА </w:t>
      </w:r>
    </w:p>
    <w:p w:rsidR="0031055B" w:rsidRPr="00450FDB" w:rsidRDefault="0031055B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Приоритетами государственной политики в сфере реализации подпрограммы "Создание и развитие инфраструктуры на сельских территориях </w:t>
      </w:r>
      <w:proofErr w:type="spellStart"/>
      <w:r w:rsidR="00DB6A50">
        <w:t>Нижнекумашкинского</w:t>
      </w:r>
      <w:proofErr w:type="spellEnd"/>
      <w:r w:rsidR="00DB6A50">
        <w:t xml:space="preserve"> сельского поселения </w:t>
      </w:r>
      <w:proofErr w:type="spellStart"/>
      <w:r w:rsidR="00DB6A50">
        <w:t>Шумерлинского</w:t>
      </w:r>
      <w:proofErr w:type="spellEnd"/>
      <w:r w:rsidRPr="00450FDB">
        <w:t xml:space="preserve"> района" муниципальной программы (далее - подпрограмма) является повышение уровня жизни в сельской местности.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Основными целями подпрограммы являются обеспечение создания комфортных условий жизнедеятельности в сельской местности, активизация участия граждан, проживающих на сельских территориях, в решении вопросов местного значения.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II. ПЕРЕЧЕНЬ И СВЕДЕНИЯ О ЦЕЛЕВЫХ ПОКАЗАТЕЛЯХ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(</w:t>
      </w:r>
      <w:proofErr w:type="gramStart"/>
      <w:r w:rsidRPr="00450FDB">
        <w:rPr>
          <w:rFonts w:ascii="Times New Roman" w:hAnsi="Times New Roman" w:cs="Times New Roman"/>
        </w:rPr>
        <w:t>ИНДИКАТОРАХ</w:t>
      </w:r>
      <w:proofErr w:type="gramEnd"/>
      <w:r w:rsidRPr="00450FDB">
        <w:rPr>
          <w:rFonts w:ascii="Times New Roman" w:hAnsi="Times New Roman" w:cs="Times New Roman"/>
        </w:rPr>
        <w:t>) ПОДПРОГРАММЫ С РАСШИФРОВКОЙ ПЛАНОВЫХ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ЗНАЧЕНИЙ ПО ГОДАМ ЕЕ РЕАЛИЗАЦИИ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Целевыми показателями (индикаторами) подпрограммы являются: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ввод в действие локальных водопроводов;</w:t>
      </w:r>
    </w:p>
    <w:p w:rsidR="00816642" w:rsidRPr="00450FDB" w:rsidRDefault="00816642" w:rsidP="00677958">
      <w:pPr>
        <w:pStyle w:val="ConsPlusNormal"/>
        <w:ind w:firstLine="540"/>
        <w:jc w:val="both"/>
      </w:pPr>
      <w:r w:rsidRPr="00450FDB">
        <w:t>количество реализованных проектов развития общественной инфраструктуры, ос</w:t>
      </w:r>
      <w:r w:rsidR="00677958">
        <w:t>нованных на местных инициативах</w:t>
      </w:r>
      <w:r w:rsidRPr="00450FDB">
        <w:t>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результате реализации мероприятий подпрограммы ожидается достижение следующих целевых показателей (индикаторов):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результате реализации мероприятий подпрограммы ожидается достижение к 2022 году следующих целевых показателей (индикаторов):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ввод в действие локальных водопроводов:</w:t>
      </w:r>
    </w:p>
    <w:p w:rsidR="00816642" w:rsidRPr="00450FDB" w:rsidRDefault="00677958" w:rsidP="00816642">
      <w:pPr>
        <w:pStyle w:val="ConsPlusNormal"/>
        <w:ind w:firstLine="540"/>
        <w:jc w:val="both"/>
      </w:pPr>
      <w:r>
        <w:t>к</w:t>
      </w:r>
      <w:r w:rsidR="00816642" w:rsidRPr="00450FDB">
        <w:t xml:space="preserve"> 2022 году – </w:t>
      </w:r>
      <w:r w:rsidR="00FA4063">
        <w:t>8,3</w:t>
      </w:r>
      <w:r w:rsidR="00816642" w:rsidRPr="00450FDB">
        <w:t xml:space="preserve"> км.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В результате реализации мероприятий подпрограммы ожидается достижение к 2025 году следующих целевых показателей (индикаторов):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количество реализованных проектов развития общественной инфраструктуры, основанных на местных инициативах:</w:t>
      </w:r>
    </w:p>
    <w:p w:rsidR="00816642" w:rsidRPr="00450FDB" w:rsidRDefault="00677958" w:rsidP="00816642">
      <w:pPr>
        <w:pStyle w:val="ConsPlusNormal"/>
        <w:ind w:firstLine="540"/>
        <w:jc w:val="both"/>
      </w:pPr>
      <w:r>
        <w:t>к</w:t>
      </w:r>
      <w:r w:rsidR="00816642" w:rsidRPr="00450FDB">
        <w:t xml:space="preserve"> 202</w:t>
      </w:r>
      <w:r>
        <w:t>6</w:t>
      </w:r>
      <w:r w:rsidR="00FA4063">
        <w:t xml:space="preserve"> году - 25</w:t>
      </w:r>
      <w:r w:rsidR="00816642" w:rsidRPr="00450FDB">
        <w:t xml:space="preserve"> единиц;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III. ХАРАКТЕРИСТИКА ОСНОВНЫХ МЕРОПРИЯТИЙ,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МЕРОПРИЯТИЙ ПОДПРОГРАММЫ С УКАЗАНИЕМ СРОКОВ ИХ РЕАЛИЗАЦИИ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Основные мероприятия подпрограммы направлены на реализацию поставленных целей и задач подпрограммы и программы в целом.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Подпрограмма включает два основных мероприятия.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 xml:space="preserve">Основное мероприятие 1. Комплексное обустройство населенных пунктов, расположенных в </w:t>
      </w:r>
      <w:r w:rsidRPr="00450FDB">
        <w:lastRenderedPageBreak/>
        <w:t>сельской местности, объектами социальной и инженерной инфраструктуры, а также строительство и реконструкция автомобильных дорог.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Мероприятие 1.1. Реализация проектов развития общественной инфраструктуры, основанных на местных инициативах.</w:t>
      </w:r>
    </w:p>
    <w:p w:rsidR="00816642" w:rsidRDefault="00816642" w:rsidP="00816642">
      <w:pPr>
        <w:pStyle w:val="ConsPlusNormal"/>
        <w:ind w:firstLine="540"/>
        <w:jc w:val="both"/>
      </w:pPr>
      <w:r w:rsidRPr="00450FDB">
        <w:t>Данное мероприятие предусматривает реализацию проектов развития общественной инфраструктуры, основанных на местных инициативах.</w:t>
      </w: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Реализация подпрограммы осуществляется в 2020 - 2025 годах.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Title"/>
        <w:jc w:val="center"/>
        <w:outlineLvl w:val="2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Раздел IV. ОБОСНОВАНИЕ ОБЪЕМА ФИНАНСОВЫХ РЕСУРСОВ,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450FDB">
        <w:rPr>
          <w:rFonts w:ascii="Times New Roman" w:hAnsi="Times New Roman" w:cs="Times New Roman"/>
        </w:rPr>
        <w:t>НЕОБХОДИМЫХ</w:t>
      </w:r>
      <w:proofErr w:type="gramEnd"/>
      <w:r w:rsidRPr="00450FDB">
        <w:rPr>
          <w:rFonts w:ascii="Times New Roman" w:hAnsi="Times New Roman" w:cs="Times New Roman"/>
        </w:rPr>
        <w:t xml:space="preserve"> ДЛЯ РЕАЛИЗАЦИИ ПОДПРОГРАММЫ</w:t>
      </w:r>
    </w:p>
    <w:p w:rsidR="00816642" w:rsidRPr="00450FDB" w:rsidRDefault="00816642" w:rsidP="00816642">
      <w:pPr>
        <w:pStyle w:val="ConsPlusNormal"/>
        <w:jc w:val="both"/>
      </w:pPr>
    </w:p>
    <w:p w:rsidR="00816642" w:rsidRPr="00450FDB" w:rsidRDefault="00816642" w:rsidP="00816642">
      <w:pPr>
        <w:pStyle w:val="ConsPlusNormal"/>
        <w:ind w:firstLine="540"/>
        <w:jc w:val="both"/>
      </w:pPr>
      <w:r w:rsidRPr="00450FDB">
        <w:t>Расходы подпрограммы формируются за счет средств федерального бюджета, республиканского бюджета Чувашской Республики, местного бюджета и внебюджетных источников.</w:t>
      </w:r>
    </w:p>
    <w:p w:rsidR="00FA4063" w:rsidRPr="009E27A1" w:rsidRDefault="00816642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A1">
        <w:rPr>
          <w:rFonts w:ascii="Times New Roman" w:hAnsi="Times New Roman" w:cs="Times New Roman"/>
          <w:sz w:val="24"/>
          <w:szCs w:val="24"/>
        </w:rPr>
        <w:t xml:space="preserve">Прогнозируемые объемы бюджетных ассигнований на реализацию мероприятий подпрограммы в 2020 - 2025 годах составляют </w:t>
      </w:r>
      <w:r w:rsidR="006C0985">
        <w:rPr>
          <w:rFonts w:ascii="Times New Roman" w:hAnsi="Times New Roman" w:cs="Times New Roman"/>
          <w:sz w:val="24"/>
          <w:szCs w:val="24"/>
        </w:rPr>
        <w:t>3375,5</w:t>
      </w:r>
      <w:r w:rsidR="00FA4063" w:rsidRPr="009E27A1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A4063" w:rsidRPr="009E27A1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E27A1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6C0985">
        <w:rPr>
          <w:rFonts w:ascii="Times New Roman" w:hAnsi="Times New Roman" w:cs="Times New Roman"/>
          <w:sz w:val="24"/>
          <w:szCs w:val="24"/>
        </w:rPr>
        <w:t>3146,4</w:t>
      </w:r>
      <w:r w:rsidRPr="009E27A1">
        <w:rPr>
          <w:rFonts w:ascii="Times New Roman" w:hAnsi="Times New Roman" w:cs="Times New Roman"/>
          <w:sz w:val="24"/>
          <w:szCs w:val="24"/>
        </w:rPr>
        <w:t>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118,9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 110,2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из них средства: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федерального бюджета – 0 тыс. рублей, в том числе: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2020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республиканского бюджета Чувашской Республики – </w:t>
      </w:r>
      <w:r w:rsidR="006C0985">
        <w:rPr>
          <w:rFonts w:ascii="Times New Roman" w:hAnsi="Times New Roman" w:cs="Times New Roman"/>
          <w:sz w:val="24"/>
          <w:szCs w:val="24"/>
        </w:rPr>
        <w:t>2295,9</w:t>
      </w:r>
      <w:r w:rsidRPr="003D2BF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6C0985">
        <w:rPr>
          <w:rFonts w:ascii="Times New Roman" w:hAnsi="Times New Roman" w:cs="Times New Roman"/>
          <w:sz w:val="24"/>
          <w:szCs w:val="24"/>
        </w:rPr>
        <w:t>2295,9</w:t>
      </w:r>
      <w:r w:rsidRPr="003D2BFD">
        <w:rPr>
          <w:rFonts w:ascii="Times New Roman" w:hAnsi="Times New Roman" w:cs="Times New Roman"/>
          <w:sz w:val="24"/>
          <w:szCs w:val="24"/>
        </w:rPr>
        <w:t>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Pr="003D2BFD">
        <w:rPr>
          <w:rFonts w:ascii="Times New Roman" w:hAnsi="Times New Roman" w:cs="Times New Roman"/>
          <w:sz w:val="24"/>
          <w:szCs w:val="24"/>
        </w:rPr>
        <w:t>Нижнекумашкинского</w:t>
      </w:r>
      <w:proofErr w:type="spellEnd"/>
      <w:r w:rsidRPr="003D2BF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3D2BFD">
        <w:rPr>
          <w:rFonts w:ascii="Times New Roman" w:hAnsi="Times New Roman" w:cs="Times New Roman"/>
          <w:sz w:val="24"/>
          <w:szCs w:val="24"/>
        </w:rPr>
        <w:t>Шумерлинского</w:t>
      </w:r>
      <w:proofErr w:type="spellEnd"/>
      <w:r w:rsidRPr="003D2BFD">
        <w:rPr>
          <w:rFonts w:ascii="Times New Roman" w:hAnsi="Times New Roman" w:cs="Times New Roman"/>
          <w:sz w:val="24"/>
          <w:szCs w:val="24"/>
        </w:rPr>
        <w:t xml:space="preserve"> района – </w:t>
      </w:r>
      <w:r w:rsidR="006C0985">
        <w:rPr>
          <w:rFonts w:ascii="Times New Roman" w:hAnsi="Times New Roman" w:cs="Times New Roman"/>
          <w:sz w:val="24"/>
          <w:szCs w:val="24"/>
        </w:rPr>
        <w:t>803,1</w:t>
      </w:r>
      <w:r w:rsidRPr="003D2BF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6C0985">
        <w:rPr>
          <w:rFonts w:ascii="Times New Roman" w:hAnsi="Times New Roman" w:cs="Times New Roman"/>
          <w:sz w:val="24"/>
          <w:szCs w:val="24"/>
        </w:rPr>
        <w:t>574,0</w:t>
      </w:r>
      <w:r w:rsidRPr="003D2BFD">
        <w:rPr>
          <w:rFonts w:ascii="Times New Roman" w:hAnsi="Times New Roman" w:cs="Times New Roman"/>
          <w:sz w:val="24"/>
          <w:szCs w:val="24"/>
        </w:rPr>
        <w:t>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118,9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110,2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внебюджетных источников – 0,0 тыс. рублей, в том числе: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2020 году – 276,5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FA4063" w:rsidRPr="003D2BFD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lastRenderedPageBreak/>
        <w:t>в 2024 году – 0,0 тыс. рублей;</w:t>
      </w:r>
    </w:p>
    <w:p w:rsidR="00FA4063" w:rsidRDefault="00FA4063" w:rsidP="00FA4063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2BFD">
        <w:rPr>
          <w:rFonts w:ascii="Times New Roman" w:hAnsi="Times New Roman" w:cs="Times New Roman"/>
          <w:sz w:val="24"/>
          <w:szCs w:val="24"/>
        </w:rPr>
        <w:t>в 2025 году – 0,0 тыс. рублей.</w:t>
      </w:r>
    </w:p>
    <w:p w:rsidR="00816642" w:rsidRPr="00450FDB" w:rsidRDefault="00816642" w:rsidP="00FA4063">
      <w:pPr>
        <w:pStyle w:val="ConsPlusNormal"/>
        <w:ind w:firstLine="540"/>
        <w:jc w:val="both"/>
      </w:pPr>
      <w:r w:rsidRPr="00450FDB"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816642" w:rsidRPr="00450FDB" w:rsidRDefault="00816642" w:rsidP="0075751E">
      <w:pPr>
        <w:pStyle w:val="ConsPlusNormal"/>
        <w:ind w:firstLine="540"/>
        <w:jc w:val="both"/>
      </w:pPr>
      <w:r w:rsidRPr="00450FDB">
        <w:t xml:space="preserve">Ресурсное </w:t>
      </w:r>
      <w:hyperlink w:anchor="Par2168" w:tooltip="РЕСУРСНОЕ ОБЕСПЕЧЕНИЕ" w:history="1">
        <w:r w:rsidRPr="00450FDB">
          <w:t>обеспечение</w:t>
        </w:r>
      </w:hyperlink>
      <w:r w:rsidRPr="00450FDB">
        <w:t xml:space="preserve"> реализации подпрограммы за счет всех источников финансирования приведено в приложении N 1 к настоящей подпрограмме.</w:t>
      </w:r>
    </w:p>
    <w:p w:rsidR="00816642" w:rsidRPr="00450FDB" w:rsidRDefault="00816642" w:rsidP="00816642">
      <w:pPr>
        <w:pStyle w:val="ConsPlusNormal"/>
        <w:jc w:val="both"/>
        <w:sectPr w:rsidR="00816642" w:rsidRPr="00450FDB" w:rsidSect="00365B8B">
          <w:headerReference w:type="default" r:id="rId16"/>
          <w:footerReference w:type="default" r:id="rId17"/>
          <w:pgSz w:w="11906" w:h="16838"/>
          <w:pgMar w:top="1440" w:right="567" w:bottom="1440" w:left="1134" w:header="0" w:footer="0" w:gutter="0"/>
          <w:cols w:space="720"/>
          <w:noEndnote/>
        </w:sectPr>
      </w:pPr>
    </w:p>
    <w:p w:rsidR="00816642" w:rsidRPr="00450FDB" w:rsidRDefault="00816642" w:rsidP="00FA4063">
      <w:pPr>
        <w:pStyle w:val="ConsPlusNormal"/>
        <w:ind w:left="7938" w:hanging="1134"/>
        <w:jc w:val="right"/>
        <w:rPr>
          <w:sz w:val="20"/>
          <w:szCs w:val="20"/>
        </w:rPr>
      </w:pPr>
      <w:r w:rsidRPr="00450FDB">
        <w:rPr>
          <w:sz w:val="20"/>
          <w:szCs w:val="20"/>
        </w:rPr>
        <w:lastRenderedPageBreak/>
        <w:t xml:space="preserve">Приложение N 1 к подпрограмме "Создание и развитие инфраструктуры на сельских территориях </w:t>
      </w:r>
      <w:proofErr w:type="spellStart"/>
      <w:r w:rsidR="00DB6A50">
        <w:rPr>
          <w:sz w:val="20"/>
          <w:szCs w:val="20"/>
        </w:rPr>
        <w:t>Нижнекумашкинского</w:t>
      </w:r>
      <w:proofErr w:type="spellEnd"/>
      <w:r w:rsidR="00DB6A50">
        <w:rPr>
          <w:sz w:val="20"/>
          <w:szCs w:val="20"/>
        </w:rPr>
        <w:t xml:space="preserve"> сельского поселения </w:t>
      </w:r>
      <w:proofErr w:type="spellStart"/>
      <w:r w:rsidR="00DB6A50">
        <w:rPr>
          <w:sz w:val="20"/>
          <w:szCs w:val="20"/>
        </w:rPr>
        <w:t>Шумерлинского</w:t>
      </w:r>
      <w:proofErr w:type="spellEnd"/>
      <w:r w:rsidRPr="00450FDB">
        <w:rPr>
          <w:sz w:val="20"/>
          <w:szCs w:val="20"/>
        </w:rPr>
        <w:t xml:space="preserve"> района"</w:t>
      </w:r>
      <w:r w:rsidR="00FA4063">
        <w:rPr>
          <w:sz w:val="20"/>
          <w:szCs w:val="20"/>
        </w:rPr>
        <w:t xml:space="preserve"> </w:t>
      </w:r>
      <w:r w:rsidRPr="00450FDB">
        <w:rPr>
          <w:sz w:val="20"/>
          <w:szCs w:val="20"/>
        </w:rPr>
        <w:t xml:space="preserve">муниципальной программы </w:t>
      </w:r>
      <w:proofErr w:type="spellStart"/>
      <w:r w:rsidR="00DB6A50">
        <w:rPr>
          <w:sz w:val="20"/>
          <w:szCs w:val="20"/>
        </w:rPr>
        <w:t>Нижнекумашкинского</w:t>
      </w:r>
      <w:proofErr w:type="spellEnd"/>
      <w:r w:rsidR="00DB6A50">
        <w:rPr>
          <w:sz w:val="20"/>
          <w:szCs w:val="20"/>
        </w:rPr>
        <w:t xml:space="preserve"> сельского поселения </w:t>
      </w:r>
      <w:proofErr w:type="spellStart"/>
      <w:r w:rsidR="00DB6A50">
        <w:rPr>
          <w:sz w:val="20"/>
          <w:szCs w:val="20"/>
        </w:rPr>
        <w:t>Шумерлинского</w:t>
      </w:r>
      <w:proofErr w:type="spellEnd"/>
      <w:r w:rsidRPr="00450FDB">
        <w:rPr>
          <w:sz w:val="20"/>
          <w:szCs w:val="20"/>
        </w:rPr>
        <w:t xml:space="preserve"> района Чувашской Республики "Комплексное развитие сельских территорий </w:t>
      </w:r>
      <w:proofErr w:type="spellStart"/>
      <w:r w:rsidR="00DB6A50">
        <w:rPr>
          <w:sz w:val="20"/>
          <w:szCs w:val="20"/>
        </w:rPr>
        <w:t>Нижнекумашкинского</w:t>
      </w:r>
      <w:proofErr w:type="spellEnd"/>
      <w:r w:rsidR="00DB6A50">
        <w:rPr>
          <w:sz w:val="20"/>
          <w:szCs w:val="20"/>
        </w:rPr>
        <w:t xml:space="preserve"> сельского поселения </w:t>
      </w:r>
      <w:proofErr w:type="spellStart"/>
      <w:r w:rsidR="00DB6A50">
        <w:rPr>
          <w:sz w:val="20"/>
          <w:szCs w:val="20"/>
        </w:rPr>
        <w:t>Шумерлинского</w:t>
      </w:r>
      <w:proofErr w:type="spellEnd"/>
      <w:r w:rsidRPr="00450FDB">
        <w:rPr>
          <w:sz w:val="20"/>
          <w:szCs w:val="20"/>
        </w:rPr>
        <w:t xml:space="preserve"> района"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РЕСУРСНОЕ ОБЕСПЕЧЕНИЕ</w:t>
      </w:r>
    </w:p>
    <w:p w:rsidR="00816642" w:rsidRPr="00450FDB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>РЕАЛИЗАЦИИ ПОДПРОГРАММЫ "СОЗДАНИЕ И РАЗВИТИЕ ИНФРАСТРУКТУРЫ</w:t>
      </w:r>
    </w:p>
    <w:p w:rsidR="00FA4063" w:rsidRDefault="00816642" w:rsidP="00816642">
      <w:pPr>
        <w:pStyle w:val="ConsPlusTitle"/>
        <w:jc w:val="center"/>
        <w:rPr>
          <w:rFonts w:ascii="Times New Roman" w:hAnsi="Times New Roman" w:cs="Times New Roman"/>
        </w:rPr>
      </w:pPr>
      <w:r w:rsidRPr="00450FDB">
        <w:rPr>
          <w:rFonts w:ascii="Times New Roman" w:hAnsi="Times New Roman" w:cs="Times New Roman"/>
        </w:rPr>
        <w:t xml:space="preserve">НА СЕЛЬСКИХ ТЕРРИТОРИЯХ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РАЙОНА" МУНИЦИПАЛЬНОЙ ПРОГРАММЫ </w:t>
      </w:r>
      <w:r w:rsidR="00DB6A50"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Pr="00450FDB">
        <w:rPr>
          <w:rFonts w:ascii="Times New Roman" w:hAnsi="Times New Roman" w:cs="Times New Roman"/>
        </w:rPr>
        <w:t xml:space="preserve"> РАЙОНА ЧУВАШСКОЙ РЕСПУБЛИКИ "КОМПЛЕКСНОЕ РАЗВИТИЕ</w:t>
      </w:r>
      <w:r w:rsidR="00FA4063">
        <w:rPr>
          <w:rFonts w:ascii="Times New Roman" w:hAnsi="Times New Roman" w:cs="Times New Roman"/>
        </w:rPr>
        <w:t xml:space="preserve"> </w:t>
      </w:r>
      <w:r w:rsidRPr="00450FDB">
        <w:rPr>
          <w:rFonts w:ascii="Times New Roman" w:hAnsi="Times New Roman" w:cs="Times New Roman"/>
        </w:rPr>
        <w:t xml:space="preserve">СЕЛЬСКИХ ТЕРРИТОРИЙ </w:t>
      </w:r>
    </w:p>
    <w:p w:rsidR="00816642" w:rsidRPr="00450FDB" w:rsidRDefault="00DB6A50" w:rsidP="00816642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НИЖНЕКУМАШКИНСКОГО СЕЛЬСКОГО ПОСЕЛЕНИЯ ШУМЕРЛИНСКОГО</w:t>
      </w:r>
      <w:r w:rsidR="00816642" w:rsidRPr="00450FDB">
        <w:rPr>
          <w:rFonts w:ascii="Times New Roman" w:hAnsi="Times New Roman" w:cs="Times New Roman"/>
        </w:rPr>
        <w:t xml:space="preserve"> РАЙОНА"</w:t>
      </w:r>
    </w:p>
    <w:p w:rsidR="00816642" w:rsidRPr="00450FDB" w:rsidRDefault="00816642" w:rsidP="00816642">
      <w:pPr>
        <w:pStyle w:val="ConsPlusNormal"/>
        <w:jc w:val="both"/>
      </w:pPr>
    </w:p>
    <w:tbl>
      <w:tblPr>
        <w:tblW w:w="15547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2340"/>
        <w:gridCol w:w="1230"/>
        <w:gridCol w:w="1140"/>
        <w:gridCol w:w="732"/>
        <w:gridCol w:w="664"/>
        <w:gridCol w:w="660"/>
        <w:gridCol w:w="588"/>
        <w:gridCol w:w="1830"/>
        <w:gridCol w:w="1024"/>
        <w:gridCol w:w="734"/>
        <w:gridCol w:w="702"/>
        <w:gridCol w:w="671"/>
        <w:gridCol w:w="639"/>
        <w:gridCol w:w="749"/>
      </w:tblGrid>
      <w:tr w:rsidR="00070615" w:rsidRPr="00450FDB" w:rsidTr="0007061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Статус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Наименование подпрограммы муниципальной программы Чувашской Республики (основного мероприятия, мероприятия)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Задача подпрограммы муниципальной программы Чувашской Республики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36011B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Код бюджетной классификации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5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Расходы по годам, тыс. рублей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главный распорядитель бюджетных средств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раздел, подраздел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целевая статья расходов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группа (подгруппа) вида расходов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2025</w:t>
            </w:r>
          </w:p>
        </w:tc>
      </w:tr>
      <w:tr w:rsidR="00070615" w:rsidRPr="00450FDB" w:rsidTr="00070615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>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5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6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7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8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9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14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15</w:t>
            </w:r>
          </w:p>
        </w:tc>
      </w:tr>
      <w:tr w:rsidR="00070615" w:rsidRPr="00450FDB" w:rsidTr="0007061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  <w:r w:rsidRPr="00450FDB">
              <w:t>Подпрограмма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  <w:r w:rsidRPr="00450FDB">
              <w:t xml:space="preserve">"Создание и развитие инфраструктуры на </w:t>
            </w:r>
            <w:r w:rsidRPr="00450FDB">
              <w:lastRenderedPageBreak/>
              <w:t xml:space="preserve">сельских территориях </w:t>
            </w:r>
            <w:proofErr w:type="spellStart"/>
            <w:r>
              <w:t>Нижнекумашкинского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Шумерлинского</w:t>
            </w:r>
            <w:proofErr w:type="spellEnd"/>
            <w:r w:rsidRPr="00450FDB">
              <w:t xml:space="preserve"> района"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  <w:r w:rsidRPr="00450FDB">
              <w:lastRenderedPageBreak/>
              <w:t xml:space="preserve">развитие инженерной и </w:t>
            </w:r>
            <w:r w:rsidRPr="00450FDB">
              <w:lastRenderedPageBreak/>
              <w:t>социальной инфраструктуры на сельских территориях, развитие транспортной инфраструктуры на сельских территориях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36011B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lastRenderedPageBreak/>
              <w:t>ответственный исполните</w:t>
            </w:r>
            <w:r w:rsidRPr="0036011B">
              <w:rPr>
                <w:sz w:val="22"/>
                <w:szCs w:val="22"/>
              </w:rPr>
              <w:lastRenderedPageBreak/>
              <w:t xml:space="preserve">ль </w:t>
            </w:r>
            <w:proofErr w:type="gramStart"/>
            <w:r w:rsidRPr="0036011B">
              <w:rPr>
                <w:sz w:val="22"/>
                <w:szCs w:val="22"/>
              </w:rPr>
              <w:t>–а</w:t>
            </w:r>
            <w:proofErr w:type="gramEnd"/>
            <w:r w:rsidRPr="0036011B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36011B">
              <w:rPr>
                <w:sz w:val="22"/>
                <w:szCs w:val="22"/>
              </w:rPr>
              <w:t>Нижнекумашкинского</w:t>
            </w:r>
            <w:proofErr w:type="spellEnd"/>
            <w:r w:rsidRPr="0036011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6011B">
              <w:rPr>
                <w:sz w:val="22"/>
                <w:szCs w:val="22"/>
              </w:rPr>
              <w:t>Шумерлинского</w:t>
            </w:r>
            <w:proofErr w:type="spellEnd"/>
            <w:r w:rsidRPr="0036011B">
              <w:rPr>
                <w:sz w:val="22"/>
                <w:szCs w:val="22"/>
              </w:rPr>
              <w:t xml:space="preserve"> района,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3146,4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2295,9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 xml:space="preserve">бюджет </w:t>
            </w:r>
            <w:proofErr w:type="spellStart"/>
            <w:r w:rsidRPr="0031055B">
              <w:rPr>
                <w:sz w:val="22"/>
                <w:szCs w:val="22"/>
              </w:rPr>
              <w:t>Нижнекумашкинского</w:t>
            </w:r>
            <w:proofErr w:type="spellEnd"/>
            <w:r w:rsidRPr="0031055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1055B">
              <w:rPr>
                <w:sz w:val="22"/>
                <w:szCs w:val="22"/>
              </w:rPr>
              <w:t>Шумерлинского</w:t>
            </w:r>
            <w:proofErr w:type="spellEnd"/>
            <w:r w:rsidRPr="0031055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0615" w:rsidRPr="00450FDB" w:rsidTr="00070615">
        <w:trPr>
          <w:trHeight w:val="76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554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outlineLvl w:val="3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Цель "Обеспечение создания комфортных условий жизнедеятельности на сельских территориях"</w:t>
            </w:r>
          </w:p>
        </w:tc>
      </w:tr>
      <w:tr w:rsidR="00070615" w:rsidRPr="00450FDB" w:rsidTr="0007061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  <w:r w:rsidRPr="00450FDB">
              <w:t>Основное мероприятие 1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  <w:r w:rsidRPr="00450FDB">
              <w:t>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36011B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36011B">
              <w:rPr>
                <w:sz w:val="22"/>
                <w:szCs w:val="22"/>
              </w:rPr>
              <w:t>–а</w:t>
            </w:r>
            <w:proofErr w:type="gramEnd"/>
            <w:r w:rsidRPr="0036011B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36011B">
              <w:rPr>
                <w:sz w:val="22"/>
                <w:szCs w:val="22"/>
              </w:rPr>
              <w:t>Нижнекумашкинского</w:t>
            </w:r>
            <w:proofErr w:type="spellEnd"/>
            <w:r w:rsidRPr="0036011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6011B">
              <w:rPr>
                <w:sz w:val="22"/>
                <w:szCs w:val="22"/>
              </w:rPr>
              <w:t>Шумерлинского</w:t>
            </w:r>
            <w:proofErr w:type="spellEnd"/>
            <w:r w:rsidRPr="0036011B">
              <w:rPr>
                <w:sz w:val="22"/>
                <w:szCs w:val="22"/>
              </w:rPr>
              <w:t xml:space="preserve"> района,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3146,4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2295,9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 xml:space="preserve">бюджет </w:t>
            </w:r>
            <w:proofErr w:type="spellStart"/>
            <w:r w:rsidRPr="0031055B">
              <w:rPr>
                <w:sz w:val="22"/>
                <w:szCs w:val="22"/>
              </w:rPr>
              <w:t>Нижнекумашкинского</w:t>
            </w:r>
            <w:proofErr w:type="spellEnd"/>
            <w:r w:rsidRPr="0031055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1055B">
              <w:rPr>
                <w:sz w:val="22"/>
                <w:szCs w:val="22"/>
              </w:rPr>
              <w:t>Шумерлинского</w:t>
            </w:r>
            <w:proofErr w:type="spellEnd"/>
            <w:r w:rsidRPr="0031055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  <w:r w:rsidRPr="00450FDB">
              <w:t>Мероприятие 1.1.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  <w:r w:rsidRPr="00450FDB"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615" w:rsidRPr="0036011B" w:rsidRDefault="00070615" w:rsidP="0036011B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 xml:space="preserve">ответственный исполнитель </w:t>
            </w:r>
            <w:proofErr w:type="gramStart"/>
            <w:r w:rsidRPr="0036011B">
              <w:rPr>
                <w:sz w:val="22"/>
                <w:szCs w:val="22"/>
              </w:rPr>
              <w:t>–а</w:t>
            </w:r>
            <w:proofErr w:type="gramEnd"/>
            <w:r w:rsidRPr="0036011B">
              <w:rPr>
                <w:sz w:val="22"/>
                <w:szCs w:val="22"/>
              </w:rPr>
              <w:t xml:space="preserve">дминистрация </w:t>
            </w:r>
            <w:proofErr w:type="spellStart"/>
            <w:r w:rsidRPr="0036011B">
              <w:rPr>
                <w:sz w:val="22"/>
                <w:szCs w:val="22"/>
              </w:rPr>
              <w:t>Нижнекумашкинского</w:t>
            </w:r>
            <w:proofErr w:type="spellEnd"/>
            <w:r w:rsidRPr="0036011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6011B">
              <w:rPr>
                <w:sz w:val="22"/>
                <w:szCs w:val="22"/>
              </w:rPr>
              <w:t>Шумерлинского</w:t>
            </w:r>
            <w:proofErr w:type="spellEnd"/>
            <w:r w:rsidRPr="0036011B">
              <w:rPr>
                <w:sz w:val="22"/>
                <w:szCs w:val="22"/>
              </w:rPr>
              <w:t xml:space="preserve"> района 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всего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3146,4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jc w:val="center"/>
            </w:pPr>
            <w:r w:rsidRPr="00450FDB"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республиканский бюджет Чувашской Республики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2295,9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 xml:space="preserve">бюджет </w:t>
            </w:r>
            <w:proofErr w:type="spellStart"/>
            <w:r w:rsidRPr="0031055B">
              <w:rPr>
                <w:sz w:val="22"/>
                <w:szCs w:val="22"/>
              </w:rPr>
              <w:t>Нижнекумашкинского</w:t>
            </w:r>
            <w:proofErr w:type="spellEnd"/>
            <w:r w:rsidRPr="0031055B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31055B">
              <w:rPr>
                <w:sz w:val="22"/>
                <w:szCs w:val="22"/>
              </w:rPr>
              <w:t>Шумерлинского</w:t>
            </w:r>
            <w:proofErr w:type="spellEnd"/>
            <w:r w:rsidRPr="0031055B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118,9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pStyle w:val="ConsPlusNormal"/>
              <w:jc w:val="center"/>
            </w:pPr>
            <w:r>
              <w:t>110,2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0615" w:rsidRPr="00450FDB" w:rsidTr="00070615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1055B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070615">
            <w:pPr>
              <w:pStyle w:val="ConsPlusNormal"/>
              <w:jc w:val="center"/>
            </w:pPr>
            <w:r>
              <w:t>276,5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C0985">
            <w:pPr>
              <w:jc w:val="center"/>
            </w:pPr>
            <w:r w:rsidRPr="00450FDB"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0,0</w:t>
            </w:r>
          </w:p>
        </w:tc>
      </w:tr>
      <w:tr w:rsidR="00070615" w:rsidRPr="00450FDB" w:rsidTr="00070615">
        <w:trPr>
          <w:trHeight w:val="76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  <w:r w:rsidRPr="00450FDB">
              <w:t>Целевые показатели (индикаторы) подпрограммы, увязанные с основным мероприятием 1</w:t>
            </w:r>
          </w:p>
        </w:tc>
        <w:tc>
          <w:tcPr>
            <w:tcW w:w="73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 xml:space="preserve">Ввод в действие локальных водопроводов, </w:t>
            </w:r>
            <w:proofErr w:type="gramStart"/>
            <w:r w:rsidRPr="0036011B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 w:rsidRPr="00450FDB">
              <w:t>х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х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х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х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jc w:val="center"/>
            </w:pPr>
            <w:r w:rsidRPr="00450FDB">
              <w:t>х</w:t>
            </w:r>
          </w:p>
        </w:tc>
      </w:tr>
      <w:tr w:rsidR="00070615" w:rsidRPr="00450FDB" w:rsidTr="00070615">
        <w:trPr>
          <w:trHeight w:val="11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  <w:r w:rsidRPr="0036011B">
              <w:rPr>
                <w:sz w:val="22"/>
                <w:szCs w:val="22"/>
              </w:rPr>
              <w:t>Количество реализованных проектов развития общественной инфраструктуры, основанных на местных инициативах, ед.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  <w:r>
              <w:t>5</w:t>
            </w:r>
          </w:p>
        </w:tc>
      </w:tr>
      <w:tr w:rsidR="00070615" w:rsidRPr="00450FDB" w:rsidTr="00070615">
        <w:trPr>
          <w:trHeight w:val="27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both"/>
            </w:pPr>
          </w:p>
        </w:tc>
        <w:tc>
          <w:tcPr>
            <w:tcW w:w="735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6011B" w:rsidRDefault="00070615" w:rsidP="0067795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31055B" w:rsidRDefault="00070615" w:rsidP="0067795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  <w:tc>
          <w:tcPr>
            <w:tcW w:w="7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15" w:rsidRPr="00450FDB" w:rsidRDefault="00070615" w:rsidP="00677958">
            <w:pPr>
              <w:pStyle w:val="ConsPlusNormal"/>
              <w:jc w:val="center"/>
            </w:pPr>
          </w:p>
        </w:tc>
      </w:tr>
    </w:tbl>
    <w:p w:rsidR="00816642" w:rsidRPr="00450FDB" w:rsidRDefault="00816642" w:rsidP="00070615">
      <w:pPr>
        <w:pStyle w:val="a3"/>
        <w:ind w:firstLine="709"/>
        <w:jc w:val="right"/>
        <w:rPr>
          <w:rFonts w:ascii="Times New Roman" w:hAnsi="Times New Roman" w:cs="Times New Roman"/>
          <w:sz w:val="16"/>
          <w:szCs w:val="16"/>
        </w:rPr>
      </w:pPr>
    </w:p>
    <w:sectPr w:rsidR="00816642" w:rsidRPr="00450FDB" w:rsidSect="00BF351A">
      <w:headerReference w:type="default" r:id="rId18"/>
      <w:footerReference w:type="default" r:id="rId1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0D" w:rsidRDefault="002C620D" w:rsidP="00E7797B">
      <w:r>
        <w:separator/>
      </w:r>
    </w:p>
  </w:endnote>
  <w:endnote w:type="continuationSeparator" w:id="0">
    <w:p w:rsidR="002C620D" w:rsidRDefault="002C620D" w:rsidP="00E77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86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86"/>
      <w:gridCol w:w="4873"/>
      <w:gridCol w:w="4584"/>
    </w:tblGrid>
    <w:tr w:rsidR="00070615" w:rsidTr="0039052E">
      <w:trPr>
        <w:trHeight w:hRule="exact" w:val="1663"/>
        <w:tblCellSpacing w:w="5" w:type="nil"/>
      </w:trPr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615" w:rsidRDefault="00070615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</w:p>
      </w:tc>
      <w:tc>
        <w:tcPr>
          <w:tcW w:w="173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615" w:rsidRDefault="00070615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</w:p>
      </w:tc>
      <w:tc>
        <w:tcPr>
          <w:tcW w:w="1633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615" w:rsidRDefault="00070615">
          <w:pPr>
            <w:pStyle w:val="ConsPlusNormal"/>
            <w:jc w:val="right"/>
            <w:rPr>
              <w:sz w:val="20"/>
              <w:szCs w:val="20"/>
            </w:rPr>
          </w:pPr>
        </w:p>
      </w:tc>
    </w:tr>
  </w:tbl>
  <w:p w:rsidR="00070615" w:rsidRDefault="00070615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5" w:rsidRDefault="00070615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85" w:rsidRDefault="006C0985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0D" w:rsidRDefault="002C620D" w:rsidP="00E7797B">
      <w:r>
        <w:separator/>
      </w:r>
    </w:p>
  </w:footnote>
  <w:footnote w:type="continuationSeparator" w:id="0">
    <w:p w:rsidR="002C620D" w:rsidRDefault="002C620D" w:rsidP="00E77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37"/>
      <w:gridCol w:w="573"/>
      <w:gridCol w:w="5732"/>
    </w:tblGrid>
    <w:tr w:rsidR="00070615" w:rsidTr="002F1B92">
      <w:trPr>
        <w:trHeight w:hRule="exact" w:val="99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615" w:rsidRDefault="00070615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615" w:rsidRDefault="00070615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70615" w:rsidRDefault="00070615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70615" w:rsidRDefault="00070615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615" w:rsidRDefault="00070615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985" w:rsidRDefault="006C0985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467"/>
    <w:rsid w:val="00001AE3"/>
    <w:rsid w:val="00021F3C"/>
    <w:rsid w:val="0002312C"/>
    <w:rsid w:val="00032F1E"/>
    <w:rsid w:val="000425ED"/>
    <w:rsid w:val="000658D8"/>
    <w:rsid w:val="00070615"/>
    <w:rsid w:val="000713F0"/>
    <w:rsid w:val="00074B88"/>
    <w:rsid w:val="000D35FA"/>
    <w:rsid w:val="0014042B"/>
    <w:rsid w:val="001513D4"/>
    <w:rsid w:val="00151595"/>
    <w:rsid w:val="0019199D"/>
    <w:rsid w:val="001C5120"/>
    <w:rsid w:val="001D1598"/>
    <w:rsid w:val="001D6761"/>
    <w:rsid w:val="001E4C97"/>
    <w:rsid w:val="0022407C"/>
    <w:rsid w:val="00241516"/>
    <w:rsid w:val="00247F3F"/>
    <w:rsid w:val="00256F29"/>
    <w:rsid w:val="002A232C"/>
    <w:rsid w:val="002B4F8E"/>
    <w:rsid w:val="002C620D"/>
    <w:rsid w:val="002F1B92"/>
    <w:rsid w:val="0031055B"/>
    <w:rsid w:val="003426FB"/>
    <w:rsid w:val="00355CBE"/>
    <w:rsid w:val="0036011B"/>
    <w:rsid w:val="00365B8B"/>
    <w:rsid w:val="00376582"/>
    <w:rsid w:val="0038744E"/>
    <w:rsid w:val="0039052E"/>
    <w:rsid w:val="00395F41"/>
    <w:rsid w:val="003C0B7D"/>
    <w:rsid w:val="003C7A05"/>
    <w:rsid w:val="003D2BFD"/>
    <w:rsid w:val="003F335E"/>
    <w:rsid w:val="003F3DEE"/>
    <w:rsid w:val="00431AB6"/>
    <w:rsid w:val="00434AB3"/>
    <w:rsid w:val="00476528"/>
    <w:rsid w:val="004A08E2"/>
    <w:rsid w:val="004E7F84"/>
    <w:rsid w:val="004F1EA9"/>
    <w:rsid w:val="00524D3B"/>
    <w:rsid w:val="0054664D"/>
    <w:rsid w:val="00563606"/>
    <w:rsid w:val="005A1E98"/>
    <w:rsid w:val="005B4A87"/>
    <w:rsid w:val="005D1483"/>
    <w:rsid w:val="005D3E5F"/>
    <w:rsid w:val="005E0249"/>
    <w:rsid w:val="005F2A7A"/>
    <w:rsid w:val="00601189"/>
    <w:rsid w:val="00616CB3"/>
    <w:rsid w:val="00617B9C"/>
    <w:rsid w:val="006642AD"/>
    <w:rsid w:val="00677958"/>
    <w:rsid w:val="006C0985"/>
    <w:rsid w:val="00701A0A"/>
    <w:rsid w:val="00710656"/>
    <w:rsid w:val="0075751E"/>
    <w:rsid w:val="00757E75"/>
    <w:rsid w:val="007945B0"/>
    <w:rsid w:val="007B5B5C"/>
    <w:rsid w:val="007F3949"/>
    <w:rsid w:val="007F5C6E"/>
    <w:rsid w:val="0081573C"/>
    <w:rsid w:val="00816642"/>
    <w:rsid w:val="00817787"/>
    <w:rsid w:val="008A56BD"/>
    <w:rsid w:val="008D6FA4"/>
    <w:rsid w:val="008F3365"/>
    <w:rsid w:val="009071F0"/>
    <w:rsid w:val="00907D0A"/>
    <w:rsid w:val="00951603"/>
    <w:rsid w:val="00957B25"/>
    <w:rsid w:val="00960E59"/>
    <w:rsid w:val="0097744F"/>
    <w:rsid w:val="009A0076"/>
    <w:rsid w:val="009A666C"/>
    <w:rsid w:val="009C6FCA"/>
    <w:rsid w:val="009C71E7"/>
    <w:rsid w:val="009C744F"/>
    <w:rsid w:val="009E27A1"/>
    <w:rsid w:val="009E66CA"/>
    <w:rsid w:val="009F3BC8"/>
    <w:rsid w:val="009F7530"/>
    <w:rsid w:val="00A76C54"/>
    <w:rsid w:val="00AD57E3"/>
    <w:rsid w:val="00AE3E76"/>
    <w:rsid w:val="00AE414C"/>
    <w:rsid w:val="00B21F36"/>
    <w:rsid w:val="00B312AE"/>
    <w:rsid w:val="00B43E94"/>
    <w:rsid w:val="00B52096"/>
    <w:rsid w:val="00B60A0D"/>
    <w:rsid w:val="00BA1C37"/>
    <w:rsid w:val="00BA3467"/>
    <w:rsid w:val="00BA5EE9"/>
    <w:rsid w:val="00BB01C2"/>
    <w:rsid w:val="00BD48C5"/>
    <w:rsid w:val="00BF351A"/>
    <w:rsid w:val="00C03746"/>
    <w:rsid w:val="00C25BEF"/>
    <w:rsid w:val="00C47912"/>
    <w:rsid w:val="00C61BE4"/>
    <w:rsid w:val="00C64AB4"/>
    <w:rsid w:val="00C96EC0"/>
    <w:rsid w:val="00CC7780"/>
    <w:rsid w:val="00D126B6"/>
    <w:rsid w:val="00D151F5"/>
    <w:rsid w:val="00D56DDE"/>
    <w:rsid w:val="00D650AD"/>
    <w:rsid w:val="00D7486E"/>
    <w:rsid w:val="00D92B73"/>
    <w:rsid w:val="00D96D70"/>
    <w:rsid w:val="00DB36DE"/>
    <w:rsid w:val="00DB3DD5"/>
    <w:rsid w:val="00DB6A50"/>
    <w:rsid w:val="00DF3464"/>
    <w:rsid w:val="00E01654"/>
    <w:rsid w:val="00E2050F"/>
    <w:rsid w:val="00E510D2"/>
    <w:rsid w:val="00E62761"/>
    <w:rsid w:val="00E63DAA"/>
    <w:rsid w:val="00E7797B"/>
    <w:rsid w:val="00E937C9"/>
    <w:rsid w:val="00E963F8"/>
    <w:rsid w:val="00EA4E21"/>
    <w:rsid w:val="00EB39B0"/>
    <w:rsid w:val="00EC7CED"/>
    <w:rsid w:val="00EE18A1"/>
    <w:rsid w:val="00F801C2"/>
    <w:rsid w:val="00F818BC"/>
    <w:rsid w:val="00F82157"/>
    <w:rsid w:val="00F85911"/>
    <w:rsid w:val="00FA4063"/>
    <w:rsid w:val="00FD3341"/>
    <w:rsid w:val="00FE1D3C"/>
    <w:rsid w:val="00FE1F23"/>
    <w:rsid w:val="00FE4753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F3B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467"/>
    <w:pPr>
      <w:spacing w:after="0" w:line="240" w:lineRule="auto"/>
    </w:pPr>
  </w:style>
  <w:style w:type="character" w:styleId="a4">
    <w:name w:val="Strong"/>
    <w:qFormat/>
    <w:rsid w:val="00434AB3"/>
    <w:rPr>
      <w:b/>
    </w:rPr>
  </w:style>
  <w:style w:type="paragraph" w:customStyle="1" w:styleId="ConsPlusNormal">
    <w:name w:val="ConsPlusNormal"/>
    <w:rsid w:val="00247F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50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779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779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71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1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b">
    <w:name w:val="Таблицы (моноширинный)"/>
    <w:basedOn w:val="a"/>
    <w:next w:val="a"/>
    <w:rsid w:val="0014042B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Цветовое выделение"/>
    <w:rsid w:val="0014042B"/>
    <w:rPr>
      <w:b/>
      <w:bCs/>
      <w:color w:val="000080"/>
    </w:rPr>
  </w:style>
  <w:style w:type="table" w:styleId="ad">
    <w:name w:val="Table Grid"/>
    <w:basedOn w:val="a1"/>
    <w:uiPriority w:val="59"/>
    <w:rsid w:val="009F3B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9F3B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RLAW098&amp;n=104992&amp;date=19.02.2020&amp;dst=100010&amp;fld=134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32771&amp;date=19.02.2020&amp;dst=100009&amp;fld=134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211112&amp;date=19.02.2020&amp;dst=100009&amp;f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LAW&amp;n=335811&amp;date=19.02.2020&amp;dst=100014&amp;fld=134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shumsao-nizn@cap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D178F-C646-4505-9A92-5B306AD60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20</Pages>
  <Words>4441</Words>
  <Characters>25317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Трофимова</dc:creator>
  <cp:lastModifiedBy>shumsao-nizn</cp:lastModifiedBy>
  <cp:revision>8</cp:revision>
  <cp:lastPrinted>2020-04-08T04:52:00Z</cp:lastPrinted>
  <dcterms:created xsi:type="dcterms:W3CDTF">2020-04-15T12:22:00Z</dcterms:created>
  <dcterms:modified xsi:type="dcterms:W3CDTF">2020-04-24T12:52:00Z</dcterms:modified>
</cp:coreProperties>
</file>