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C776E4" w:rsidRPr="00C776E4" w:rsidTr="00B150D9">
        <w:tc>
          <w:tcPr>
            <w:tcW w:w="1872" w:type="dxa"/>
            <w:hideMark/>
          </w:tcPr>
          <w:p w:rsidR="00C776E4" w:rsidRPr="00C776E4" w:rsidRDefault="00C776E4" w:rsidP="00C776E4">
            <w:pPr>
              <w:suppressAutoHyphens/>
              <w:jc w:val="center"/>
              <w:rPr>
                <w:rFonts w:ascii="Calibri" w:eastAsia="Calibri" w:hAnsi="Calibri" w:cs="Times New Roman"/>
                <w:color w:val="000000"/>
                <w:sz w:val="20"/>
                <w:lang w:eastAsia="ar-SA"/>
              </w:rPr>
            </w:pPr>
            <w:r w:rsidRPr="00C776E4">
              <w:rPr>
                <w:rFonts w:ascii="Calibri" w:eastAsia="Calibri" w:hAnsi="Calibri" w:cs="Times New Roman"/>
                <w:noProof/>
                <w:color w:val="000000"/>
                <w:sz w:val="20"/>
                <w:lang w:eastAsia="ru-RU"/>
              </w:rPr>
              <w:drawing>
                <wp:inline distT="0" distB="0" distL="0" distR="0" wp14:anchorId="352D5F17" wp14:editId="28A5CE42">
                  <wp:extent cx="73342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C776E4" w:rsidRPr="00C776E4" w:rsidRDefault="00C776E4" w:rsidP="00C776E4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lang w:eastAsia="ar-SA"/>
              </w:rPr>
            </w:pPr>
            <w:r w:rsidRPr="00C776E4">
              <w:rPr>
                <w:rFonts w:ascii="Calibri" w:eastAsia="Calibri" w:hAnsi="Calibri" w:cs="Times New Roman"/>
                <w:color w:val="000000"/>
                <w:sz w:val="20"/>
              </w:rPr>
              <w:t>Информационный бюллетень</w:t>
            </w:r>
          </w:p>
          <w:p w:rsidR="00C776E4" w:rsidRPr="00C776E4" w:rsidRDefault="00C776E4" w:rsidP="00C776E4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</w:p>
          <w:p w:rsidR="00C776E4" w:rsidRPr="00C776E4" w:rsidRDefault="00C776E4" w:rsidP="00C776E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C776E4">
              <w:rPr>
                <w:rFonts w:ascii="Calibri" w:eastAsia="Calibri" w:hAnsi="Calibri" w:cs="Times New Roman"/>
                <w:b/>
                <w:color w:val="000000"/>
                <w:sz w:val="20"/>
              </w:rPr>
              <w:t>Вестник Кильдюшевского сельского поселения Яльчикского района</w:t>
            </w:r>
          </w:p>
          <w:p w:rsidR="00C776E4" w:rsidRPr="00C776E4" w:rsidRDefault="00C776E4" w:rsidP="00C776E4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ar-SA"/>
              </w:rPr>
            </w:pPr>
            <w:r w:rsidRPr="00C776E4">
              <w:rPr>
                <w:rFonts w:ascii="Calibri" w:eastAsia="Calibri" w:hAnsi="Calibri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16" w:type="dxa"/>
            <w:hideMark/>
          </w:tcPr>
          <w:p w:rsidR="00C776E4" w:rsidRPr="00C776E4" w:rsidRDefault="00C776E4" w:rsidP="00C776E4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lang w:eastAsia="ar-SA"/>
              </w:rPr>
            </w:pPr>
            <w:r w:rsidRPr="00C776E4">
              <w:rPr>
                <w:rFonts w:ascii="Calibri" w:eastAsia="Calibri" w:hAnsi="Calibri" w:cs="Times New Roman"/>
                <w:color w:val="000000"/>
                <w:sz w:val="20"/>
              </w:rPr>
              <w:t>УТВЕРЖДЕН</w:t>
            </w:r>
          </w:p>
          <w:p w:rsidR="00C776E4" w:rsidRPr="00C776E4" w:rsidRDefault="00C776E4" w:rsidP="00C776E4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C776E4">
              <w:rPr>
                <w:rFonts w:ascii="Calibri" w:eastAsia="Calibri" w:hAnsi="Calibri" w:cs="Times New Roman"/>
                <w:color w:val="000000"/>
                <w:sz w:val="2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C776E4" w:rsidRPr="00C776E4" w:rsidRDefault="00C776E4" w:rsidP="00C776E4">
            <w:pPr>
              <w:suppressAutoHyphens/>
              <w:jc w:val="center"/>
              <w:rPr>
                <w:rFonts w:ascii="Calibri" w:eastAsia="Calibri" w:hAnsi="Calibri" w:cs="Times New Roman"/>
                <w:color w:val="000000"/>
                <w:sz w:val="20"/>
                <w:lang w:eastAsia="ar-SA"/>
              </w:rPr>
            </w:pPr>
            <w:r w:rsidRPr="00C776E4">
              <w:rPr>
                <w:rFonts w:ascii="Calibri" w:eastAsia="Calibri" w:hAnsi="Calibri" w:cs="Times New Roman"/>
                <w:color w:val="000000"/>
                <w:sz w:val="20"/>
              </w:rPr>
              <w:t xml:space="preserve">№ 1/2 </w:t>
            </w:r>
            <w:r w:rsidRPr="00C776E4">
              <w:rPr>
                <w:rFonts w:ascii="Calibri" w:eastAsia="Calibri" w:hAnsi="Calibri" w:cs="Times New Roman"/>
                <w:color w:val="000000"/>
                <w:sz w:val="20"/>
                <w:lang w:val="en-US"/>
              </w:rPr>
              <w:t>“</w:t>
            </w:r>
            <w:r w:rsidRPr="00C776E4">
              <w:rPr>
                <w:rFonts w:ascii="Calibri" w:eastAsia="Calibri" w:hAnsi="Calibri" w:cs="Times New Roman"/>
                <w:color w:val="000000"/>
                <w:sz w:val="20"/>
              </w:rPr>
              <w:t>22</w:t>
            </w:r>
            <w:r w:rsidRPr="00C776E4">
              <w:rPr>
                <w:rFonts w:ascii="Calibri" w:eastAsia="Calibri" w:hAnsi="Calibri" w:cs="Times New Roman"/>
                <w:color w:val="000000"/>
                <w:sz w:val="20"/>
                <w:lang w:val="en-US"/>
              </w:rPr>
              <w:t>”</w:t>
            </w:r>
            <w:r w:rsidRPr="00C776E4">
              <w:rPr>
                <w:rFonts w:ascii="Calibri" w:eastAsia="Calibri" w:hAnsi="Calibri" w:cs="Times New Roman"/>
                <w:color w:val="000000"/>
                <w:sz w:val="20"/>
              </w:rPr>
              <w:t xml:space="preserve"> января </w:t>
            </w:r>
            <w:r w:rsidRPr="00C776E4">
              <w:rPr>
                <w:rFonts w:ascii="Calibri" w:eastAsia="Calibri" w:hAnsi="Calibri" w:cs="Times New Roman"/>
                <w:color w:val="000000"/>
                <w:sz w:val="20"/>
                <w:lang w:val="en-US"/>
              </w:rPr>
              <w:t>200</w:t>
            </w:r>
            <w:r w:rsidRPr="00C776E4">
              <w:rPr>
                <w:rFonts w:ascii="Calibri" w:eastAsia="Calibri" w:hAnsi="Calibri" w:cs="Times New Roman"/>
                <w:color w:val="000000"/>
                <w:sz w:val="20"/>
              </w:rPr>
              <w:t>8г.</w:t>
            </w:r>
          </w:p>
        </w:tc>
      </w:tr>
    </w:tbl>
    <w:p w:rsidR="00C776E4" w:rsidRPr="00C776E4" w:rsidRDefault="00C776E4" w:rsidP="00C776E4">
      <w:pPr>
        <w:suppressAutoHyphens/>
        <w:rPr>
          <w:rFonts w:ascii="Calibri" w:eastAsia="Calibri" w:hAnsi="Calibri" w:cs="Times New Roman"/>
          <w:b/>
          <w:bCs/>
          <w:kern w:val="36"/>
          <w:sz w:val="20"/>
        </w:rPr>
      </w:pPr>
    </w:p>
    <w:p w:rsidR="00C776E4" w:rsidRPr="00C776E4" w:rsidRDefault="00C776E4" w:rsidP="00C776E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bCs/>
          <w:kern w:val="36"/>
          <w:sz w:val="20"/>
        </w:rPr>
        <w:t xml:space="preserve">              №43</w:t>
      </w:r>
      <w:r w:rsidRPr="00C776E4">
        <w:rPr>
          <w:rFonts w:ascii="Calibri" w:eastAsia="Calibri" w:hAnsi="Calibri" w:cs="Times New Roman"/>
          <w:b/>
          <w:bCs/>
          <w:kern w:val="36"/>
          <w:sz w:val="20"/>
        </w:rPr>
        <w:t xml:space="preserve"> /2019                                                                                                                           0</w:t>
      </w:r>
      <w:r>
        <w:rPr>
          <w:rFonts w:ascii="Calibri" w:eastAsia="Calibri" w:hAnsi="Calibri" w:cs="Times New Roman"/>
          <w:b/>
          <w:bCs/>
          <w:kern w:val="36"/>
          <w:sz w:val="20"/>
        </w:rPr>
        <w:t>7</w:t>
      </w:r>
      <w:r w:rsidRPr="00C776E4">
        <w:rPr>
          <w:rFonts w:ascii="Calibri" w:eastAsia="Calibri" w:hAnsi="Calibri" w:cs="Times New Roman"/>
          <w:b/>
          <w:bCs/>
          <w:kern w:val="36"/>
          <w:sz w:val="20"/>
        </w:rPr>
        <w:t>.11.2019 г.</w:t>
      </w:r>
    </w:p>
    <w:p w:rsidR="00C776E4" w:rsidRDefault="00C776E4" w:rsidP="00C776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1E3F" w:rsidRPr="00A10E00" w:rsidRDefault="00AF1E3F" w:rsidP="00AF1E3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068"/>
        <w:gridCol w:w="1620"/>
        <w:gridCol w:w="4320"/>
      </w:tblGrid>
      <w:tr w:rsidR="00AF1E3F" w:rsidRPr="00A10E00" w:rsidTr="003E1918">
        <w:tc>
          <w:tcPr>
            <w:tcW w:w="4068" w:type="dxa"/>
            <w:shd w:val="clear" w:color="auto" w:fill="auto"/>
          </w:tcPr>
          <w:p w:rsidR="00AF1E3F" w:rsidRPr="00A10E00" w:rsidRDefault="00AF1E3F" w:rsidP="003E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F1E3F" w:rsidRPr="00A10E00" w:rsidRDefault="00AF1E3F" w:rsidP="003E1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eastAsia="ru-RU"/>
              </w:rPr>
              <w:drawing>
                <wp:inline distT="0" distB="0" distL="0" distR="0" wp14:anchorId="7CEB715A" wp14:editId="6F689429">
                  <wp:extent cx="733425" cy="695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AF1E3F" w:rsidRPr="00A10E00" w:rsidRDefault="00AF1E3F" w:rsidP="003E19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3F" w:rsidRPr="00A10E00" w:rsidTr="003E1918">
        <w:tc>
          <w:tcPr>
            <w:tcW w:w="4068" w:type="dxa"/>
            <w:shd w:val="clear" w:color="auto" w:fill="auto"/>
          </w:tcPr>
          <w:p w:rsidR="00AF1E3F" w:rsidRPr="00A10E00" w:rsidRDefault="00AF1E3F" w:rsidP="003E1918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  <w:proofErr w:type="spellStart"/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Чёваш</w:t>
            </w:r>
            <w:proofErr w:type="spellEnd"/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 Республики </w:t>
            </w:r>
          </w:p>
          <w:p w:rsidR="00AF1E3F" w:rsidRPr="00A10E00" w:rsidRDefault="00AF1E3F" w:rsidP="003E1918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  <w:proofErr w:type="spellStart"/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Елч</w:t>
            </w:r>
            <w:proofErr w:type="gramStart"/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.к</w:t>
            </w:r>
            <w:proofErr w:type="spellEnd"/>
            <w:proofErr w:type="gramEnd"/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 район. </w:t>
            </w:r>
          </w:p>
          <w:p w:rsidR="00AF1E3F" w:rsidRPr="00A10E00" w:rsidRDefault="00AF1E3F" w:rsidP="003E1918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+</w:t>
            </w:r>
            <w:proofErr w:type="spellStart"/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ир.кл</w:t>
            </w:r>
            <w:proofErr w:type="spellEnd"/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Шёхаль</w:t>
            </w:r>
            <w:proofErr w:type="spellEnd"/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 ял </w:t>
            </w:r>
            <w:proofErr w:type="spellStart"/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поселений</w:t>
            </w:r>
            <w:proofErr w:type="gramStart"/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.н</w:t>
            </w:r>
            <w:proofErr w:type="spellEnd"/>
            <w:proofErr w:type="gramEnd"/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 </w:t>
            </w:r>
          </w:p>
          <w:p w:rsidR="00AF1E3F" w:rsidRPr="00A10E00" w:rsidRDefault="00AF1E3F" w:rsidP="003E1918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администраций.</w:t>
            </w:r>
          </w:p>
          <w:p w:rsidR="00AF1E3F" w:rsidRPr="00A10E00" w:rsidRDefault="00AF1E3F" w:rsidP="003E1918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</w:p>
          <w:p w:rsidR="00AF1E3F" w:rsidRPr="00A10E00" w:rsidRDefault="00AF1E3F" w:rsidP="003E1918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b/>
                <w:sz w:val="28"/>
                <w:szCs w:val="28"/>
                <w:lang w:eastAsia="ru-RU"/>
              </w:rPr>
            </w:pPr>
            <w:r w:rsidRPr="00A10E00">
              <w:rPr>
                <w:rFonts w:ascii="Arial Cyr Chv FVI" w:eastAsia="Times New Roman" w:hAnsi="Arial Cyr Chv FVI" w:cs="Times New Roman"/>
                <w:b/>
                <w:sz w:val="28"/>
                <w:szCs w:val="28"/>
                <w:lang w:eastAsia="ru-RU"/>
              </w:rPr>
              <w:t>ЙЫШЁНУ</w:t>
            </w:r>
          </w:p>
          <w:p w:rsidR="00AF1E3F" w:rsidRPr="00A10E00" w:rsidRDefault="00AF1E3F" w:rsidP="003E1918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</w:pPr>
            <w:r w:rsidRPr="00A10E00"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 xml:space="preserve">2019 = </w:t>
            </w:r>
            <w:proofErr w:type="spellStart"/>
            <w:r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>ноябр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ē</w:t>
            </w:r>
            <w:r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 xml:space="preserve"> 07-м.ш. №48</w:t>
            </w:r>
          </w:p>
          <w:p w:rsidR="00AF1E3F" w:rsidRPr="00A10E00" w:rsidRDefault="00AF1E3F" w:rsidP="003E1918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0"/>
                <w:szCs w:val="20"/>
                <w:lang w:eastAsia="ru-RU"/>
              </w:rPr>
            </w:pPr>
          </w:p>
          <w:p w:rsidR="00AF1E3F" w:rsidRPr="00A10E00" w:rsidRDefault="00AF1E3F" w:rsidP="003E1918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</w:pPr>
            <w:r w:rsidRPr="00A10E00"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  <w:t>+</w:t>
            </w:r>
            <w:proofErr w:type="spellStart"/>
            <w:r w:rsidRPr="00A10E00"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  <w:t>ир.кл</w:t>
            </w:r>
            <w:proofErr w:type="spellEnd"/>
            <w:r w:rsidRPr="00A10E00"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10E00"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  <w:t>Шёхаль</w:t>
            </w:r>
            <w:proofErr w:type="spellEnd"/>
            <w:r w:rsidRPr="00A10E00"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  <w:t xml:space="preserve"> ял.</w:t>
            </w:r>
          </w:p>
          <w:p w:rsidR="00AF1E3F" w:rsidRDefault="00AF1E3F" w:rsidP="003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E3F" w:rsidRDefault="00AF1E3F" w:rsidP="003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E3F" w:rsidRDefault="00AF1E3F" w:rsidP="003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E3F" w:rsidRPr="00A10E00" w:rsidRDefault="00AF1E3F" w:rsidP="003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F1E3F" w:rsidRPr="00A10E00" w:rsidRDefault="00AF1E3F" w:rsidP="003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AF1E3F" w:rsidRPr="00A10E00" w:rsidRDefault="00AF1E3F" w:rsidP="003E1918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  <w:r w:rsidRPr="00A10E00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>Чувашская Республика</w:t>
            </w:r>
          </w:p>
          <w:p w:rsidR="00AF1E3F" w:rsidRPr="00A10E00" w:rsidRDefault="00AF1E3F" w:rsidP="003E1918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  <w:r w:rsidRPr="00A10E00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>Яльчикский район</w:t>
            </w:r>
          </w:p>
          <w:p w:rsidR="00AF1E3F" w:rsidRPr="00A10E00" w:rsidRDefault="00AF1E3F" w:rsidP="003E1918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  <w:r w:rsidRPr="00A10E00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AF1E3F" w:rsidRPr="00A10E00" w:rsidRDefault="00AF1E3F" w:rsidP="003E1918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  <w:r w:rsidRPr="00A10E00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 xml:space="preserve">Кильдюшевского сельского </w:t>
            </w:r>
          </w:p>
          <w:p w:rsidR="00AF1E3F" w:rsidRPr="00A10E00" w:rsidRDefault="00AF1E3F" w:rsidP="003E1918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10E00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>поселения</w:t>
            </w:r>
          </w:p>
          <w:p w:rsidR="00AF1E3F" w:rsidRPr="00A10E00" w:rsidRDefault="00AF1E3F" w:rsidP="003E1918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AF1E3F" w:rsidRPr="00A10E00" w:rsidRDefault="00AF1E3F" w:rsidP="003E1918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  <w:r w:rsidRPr="00A10E00"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AF1E3F" w:rsidRPr="00A10E00" w:rsidRDefault="00AF1E3F" w:rsidP="003E19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«07» ноября 2019г.№48</w:t>
            </w:r>
          </w:p>
          <w:p w:rsidR="00AF1E3F" w:rsidRPr="00A10E00" w:rsidRDefault="00AF1E3F" w:rsidP="003E19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E3F" w:rsidRDefault="00AF1E3F" w:rsidP="003E19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Кильдюшево</w:t>
            </w:r>
          </w:p>
          <w:p w:rsidR="00AF1E3F" w:rsidRDefault="00AF1E3F" w:rsidP="003E19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1E3F" w:rsidRDefault="00AF1E3F" w:rsidP="003E19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1E3F" w:rsidRDefault="00AF1E3F" w:rsidP="003E19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1E3F" w:rsidRPr="00A10E00" w:rsidRDefault="00AF1E3F" w:rsidP="003E19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1E3F" w:rsidRPr="00045B7A" w:rsidRDefault="00AF1E3F" w:rsidP="00AF1E3F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B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 внесении изменений в административный регламент </w:t>
      </w:r>
    </w:p>
    <w:p w:rsidR="00AF1E3F" w:rsidRDefault="00AF1E3F" w:rsidP="00AF1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Кильдюшевского сельского поселения </w:t>
      </w:r>
    </w:p>
    <w:p w:rsidR="00AF1E3F" w:rsidRDefault="00AF1E3F" w:rsidP="00AF1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Яльчикского района Чувашской Республики </w:t>
      </w:r>
    </w:p>
    <w:p w:rsidR="00AF1E3F" w:rsidRDefault="00AF1E3F" w:rsidP="00AF1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:rsidR="00AF1E3F" w:rsidRPr="001A3F10" w:rsidRDefault="00AF1E3F" w:rsidP="00AF1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3F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«Выдача разрешений на строительство, </w:t>
      </w:r>
    </w:p>
    <w:p w:rsidR="00AF1E3F" w:rsidRPr="001A3F10" w:rsidRDefault="00AF1E3F" w:rsidP="00AF1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3F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реконструкцию объектов капитального строительства»</w:t>
      </w:r>
    </w:p>
    <w:p w:rsidR="00AF1E3F" w:rsidRPr="00045B7A" w:rsidRDefault="00AF1E3F" w:rsidP="00AF1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F1E3F" w:rsidRPr="008A52D7" w:rsidRDefault="00AF1E3F" w:rsidP="00AF1E3F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</w:t>
      </w:r>
      <w:proofErr w:type="gramStart"/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03.08.2018 №342-ФЗ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27.06.2019 №151-ФЗ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</w:t>
      </w:r>
      <w:proofErr w:type="gramEnd"/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Федеральным законом от 02.08.2019 №283-ФЗ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8A52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Кильдюшевского</w:t>
      </w:r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Яльчикского района Чувашской Республики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и л а: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8A5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административный регламент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Кильдюшевского</w:t>
      </w:r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Яльчикского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строительства», утвержденный постановлением администрации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18.12.2018</w:t>
      </w:r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>1.1) пункт 2.6.1 изложить в следующей редакции:</w:t>
      </w:r>
    </w:p>
    <w:p w:rsidR="00AF1E3F" w:rsidRPr="008A52D7" w:rsidRDefault="00AF1E3F" w:rsidP="00AF1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целях строительства, реконструкции объекта капитального строительства Заявитель направляет в Администрацию либо в АУ «МФЦ» Яльчикского района заявление о выдаче разрешения на строительство (приложение № 2 к настоящему Административному регламенту). Для принятия решения необходимы следующие документы: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7" w:anchor="/document/12138258/entry/573011" w:history="1">
        <w:r w:rsidRPr="008A52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частью 1.1 статьи 57.3</w:t>
        </w:r>
      </w:hyperlink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Градостроительного кодекса РФ;</w:t>
      </w:r>
      <w:proofErr w:type="gramEnd"/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1.1) при наличии соглашения о передаче в случаях, установленных </w:t>
      </w:r>
      <w:hyperlink r:id="rId8" w:anchor="/document/12112604/entry/2" w:history="1">
        <w:r w:rsidRPr="008A52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бюджетным законодательством</w:t>
        </w:r>
      </w:hyperlink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Росатом</w:t>
      </w:r>
      <w:proofErr w:type="spellEnd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", Государственной корпорацией по космической деятельности "</w:t>
      </w:r>
      <w:proofErr w:type="spellStart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Роскосмос</w:t>
      </w:r>
      <w:proofErr w:type="spellEnd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соглашение;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случае</w:t>
      </w:r>
      <w:proofErr w:type="gramEnd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результаты инженерных изысканий и следующие материалы, содержащиеся в утвержденной в соответствии с </w:t>
      </w:r>
      <w:hyperlink r:id="rId9" w:anchor="/document/12138258/entry/48015" w:history="1">
        <w:r w:rsidRPr="008A52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частью 15 статьи 48</w:t>
        </w:r>
      </w:hyperlink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Градостроительного кодекса РФ проектной документации: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пояснительная записка;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10" w:anchor="/document/12138258/entry/48121" w:history="1">
        <w:r w:rsidRPr="008A52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частью 12.1 статьи 48</w:t>
        </w:r>
      </w:hyperlink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Градостроительного кодекса РФ), если такая проектная документация подлежит экспертизе в соответствии со</w:t>
      </w:r>
      <w:proofErr w:type="gramEnd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11" w:anchor="/document/12138258/entry/49" w:history="1">
        <w:r w:rsidRPr="008A52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статьей 49</w:t>
        </w:r>
      </w:hyperlink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Градостроительного кодекса РФ, положительное заключение государственной экспертизы проектной документации в случаях, предусмотренных </w:t>
      </w:r>
      <w:hyperlink r:id="rId12" w:anchor="/document/12138258/entry/4934" w:history="1">
        <w:r w:rsidRPr="008A52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частью 3.4 статьи 49</w:t>
        </w:r>
      </w:hyperlink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Градостроительного кодекса РФ, положительное заключение государственной экологической экспертизы проектной документации в случаях, предусмотренных </w:t>
      </w:r>
      <w:hyperlink r:id="rId13" w:anchor="/document/12138258/entry/4906" w:history="1">
        <w:r w:rsidRPr="008A52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частью 6 статьи 49</w:t>
        </w:r>
      </w:hyperlink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Градостроительного кодекса РФ;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4.1) подтверждение соответствия вносимых в проектную документацию изменений требованиям, указанным в </w:t>
      </w:r>
      <w:hyperlink r:id="rId14" w:anchor="/document/12138258/entry/4938" w:history="1">
        <w:r w:rsidRPr="008A52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части 3.8 статьи 49</w:t>
        </w:r>
      </w:hyperlink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соответствии с частью 3.8 статьи 49 Градостроительного кодекса РФ;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4.2) подтверждение соответствия вносимых в проектную документацию изменений требованиям, указанным в </w:t>
      </w:r>
      <w:hyperlink r:id="rId15" w:anchor="/document/12138258/entry/4939" w:history="1">
        <w:r w:rsidRPr="008A52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части 3.9 статьи 49</w:t>
        </w:r>
      </w:hyperlink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РФ;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 разрешение на отклонение от предельных параметров разрешенного строительства, </w:t>
      </w:r>
      <w:hyperlink r:id="rId16" w:anchor="/document/12138258/entry/1014" w:history="1">
        <w:r w:rsidRPr="008A52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реконструкции</w:t>
        </w:r>
      </w:hyperlink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(в случае, если застройщику было предоставлено такое разрешение в соответствии со </w:t>
      </w:r>
      <w:hyperlink r:id="rId17" w:anchor="/document/12138258/entry/40" w:history="1">
        <w:r w:rsidRPr="008A52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статьей 40</w:t>
        </w:r>
      </w:hyperlink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Градостроительного кодекса РФ);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18" w:anchor="/document/12138258/entry/510762" w:history="1">
        <w:r w:rsidRPr="008A52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пункте 6.2</w:t>
        </w:r>
      </w:hyperlink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настоящей части случаев реконструкции многоквартирного дома;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Росатом</w:t>
      </w:r>
      <w:proofErr w:type="spellEnd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", Государственной корпорацией по космической деятельности "</w:t>
      </w:r>
      <w:proofErr w:type="spellStart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Роскосмос</w:t>
      </w:r>
      <w:proofErr w:type="spellEnd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определяющее</w:t>
      </w:r>
      <w:proofErr w:type="gramEnd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6.2) решение общего собрания собственников помещений и </w:t>
      </w:r>
      <w:proofErr w:type="spellStart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машино</w:t>
      </w:r>
      <w:proofErr w:type="spellEnd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машино</w:t>
      </w:r>
      <w:proofErr w:type="spellEnd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-мест в многоквартирном доме;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8) документы, предусмотренные </w:t>
      </w:r>
      <w:hyperlink r:id="rId19" w:anchor="/document/12127232/entry/0" w:history="1">
        <w:r w:rsidRPr="008A52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законодательством</w:t>
        </w:r>
      </w:hyperlink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территории.»;</w:t>
      </w:r>
      <w:proofErr w:type="gramEnd"/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>1.2) пункт 2.6.2 изложить в следующей редакции: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«Документы (их копии или сведения, содержащиеся в них), указанные в подпунктах </w:t>
      </w:r>
      <w:hyperlink r:id="rId20" w:anchor="/document/12138258/entry/51071" w:history="1">
        <w:r w:rsidRPr="008A52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1 - 5</w:t>
        </w:r>
      </w:hyperlink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>, 7, 9 и 10 пункта 2.6.1. настоящего Административного регламента, запрашиваются Администрацией,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Чувашской Республики, муниципальными правовыми</w:t>
      </w:r>
      <w:proofErr w:type="gramEnd"/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если Заявитель не представил указанные документы самостоятельно</w:t>
      </w:r>
      <w:proofErr w:type="gramStart"/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1.3) пункт 2.6.3 изложить в следующей редакции: </w:t>
      </w:r>
    </w:p>
    <w:p w:rsidR="00AF1E3F" w:rsidRPr="008A52D7" w:rsidRDefault="00AF1E3F" w:rsidP="00AF1E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«Документы, указанные в </w:t>
      </w:r>
      <w:r w:rsidRPr="008A52D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 под</w:t>
      </w:r>
      <w:hyperlink r:id="rId21" w:anchor="/document/12138258/entry/51071" w:history="1">
        <w:r w:rsidRPr="008A52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пунктах 1</w:t>
        </w:r>
      </w:hyperlink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22" w:anchor="/document/12138258/entry/51073" w:history="1">
        <w:r w:rsidRPr="008A52D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3</w:t>
        </w:r>
      </w:hyperlink>
      <w:r w:rsidRPr="008A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пункта 2.6.1.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</w:t>
      </w:r>
      <w:r w:rsidRPr="008A52D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Едином государственном реестре недвижимости или едином государственном реестре заключений</w:t>
      </w:r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F1E3F" w:rsidRDefault="00AF1E3F" w:rsidP="00AF1E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Настоящее постановление вступает в силу после его официального опубликования.</w:t>
      </w:r>
    </w:p>
    <w:p w:rsidR="00AF1E3F" w:rsidRDefault="00AF1E3F" w:rsidP="00AF1E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3F" w:rsidRPr="008A52D7" w:rsidRDefault="00AF1E3F" w:rsidP="00AF1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  <w:r w:rsidRPr="008A52D7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Глава Кильдюшевского</w:t>
      </w:r>
    </w:p>
    <w:p w:rsidR="00AF1E3F" w:rsidRPr="008A52D7" w:rsidRDefault="00AF1E3F" w:rsidP="00AF1E3F">
      <w:pPr>
        <w:tabs>
          <w:tab w:val="left" w:pos="0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2D7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сельского </w:t>
      </w:r>
      <w:r w:rsidRPr="008A5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</w:t>
      </w:r>
    </w:p>
    <w:p w:rsidR="00C776E4" w:rsidRPr="00045B7A" w:rsidRDefault="00AF1E3F" w:rsidP="00AF1E3F">
      <w:pPr>
        <w:tabs>
          <w:tab w:val="left" w:pos="0"/>
          <w:tab w:val="left" w:pos="7938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8A5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Яльчикского района                                                                                         </w:t>
      </w:r>
      <w:proofErr w:type="spellStart"/>
      <w:r w:rsidRPr="008A52D7">
        <w:rPr>
          <w:rFonts w:ascii="Times New Roman" w:eastAsia="Times New Roman" w:hAnsi="Times New Roman" w:cs="Times New Roman"/>
          <w:sz w:val="24"/>
          <w:szCs w:val="24"/>
          <w:lang w:eastAsia="ar-SA"/>
        </w:rPr>
        <w:t>С.П.Солин</w:t>
      </w:r>
      <w:proofErr w:type="spellEnd"/>
    </w:p>
    <w:p w:rsidR="00C776E4" w:rsidRPr="00C776E4" w:rsidRDefault="00C776E4" w:rsidP="00C776E4">
      <w:pPr>
        <w:spacing w:after="0" w:line="235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776E4" w:rsidRPr="00C776E4" w:rsidRDefault="00C776E4" w:rsidP="00C776E4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776E4">
        <w:rPr>
          <w:rFonts w:ascii="Times New Roman" w:eastAsia="Calibri" w:hAnsi="Times New Roman" w:cs="Times New Roman"/>
          <w:sz w:val="20"/>
          <w:szCs w:val="2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C776E4" w:rsidRDefault="00C776E4" w:rsidP="00AF1E3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776E4">
        <w:rPr>
          <w:rFonts w:ascii="Times New Roman" w:eastAsia="Calibri" w:hAnsi="Times New Roman" w:cs="Times New Roman"/>
          <w:sz w:val="20"/>
          <w:szCs w:val="20"/>
        </w:rPr>
        <w:t xml:space="preserve">Адрес: д. Кильдюшево, ул. 40 лет Победы, дом №20                                                    </w:t>
      </w:r>
      <w:r w:rsidR="00AF1E3F">
        <w:rPr>
          <w:rFonts w:ascii="Times New Roman" w:eastAsia="Calibri" w:hAnsi="Times New Roman" w:cs="Times New Roman"/>
          <w:sz w:val="20"/>
          <w:szCs w:val="20"/>
        </w:rPr>
        <w:t xml:space="preserve">                Тираж -  15 экз.</w:t>
      </w:r>
    </w:p>
    <w:p w:rsidR="00AF1E3F" w:rsidRDefault="00AF1E3F" w:rsidP="00AF1E3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776E4" w:rsidRDefault="00C776E4">
      <w:bookmarkStart w:id="0" w:name="_GoBack"/>
      <w:bookmarkEnd w:id="0"/>
    </w:p>
    <w:sectPr w:rsidR="00C7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35"/>
    <w:rsid w:val="001D4FC8"/>
    <w:rsid w:val="00AF1E3F"/>
    <w:rsid w:val="00C776E4"/>
    <w:rsid w:val="00DD3D38"/>
    <w:rsid w:val="00E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18" Type="http://schemas.openxmlformats.org/officeDocument/2006/relationships/hyperlink" Target="http://garant-01.op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arant-01.op.ru/" TargetMode="Externa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://garant-01.op.ru/" TargetMode="External"/><Relationship Id="rId17" Type="http://schemas.openxmlformats.org/officeDocument/2006/relationships/hyperlink" Target="http://garant-01.o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arant-01.op.ru/" TargetMode="External"/><Relationship Id="rId20" Type="http://schemas.openxmlformats.org/officeDocument/2006/relationships/hyperlink" Target="http://garant-01.op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arant-01.op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arant-01.op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arant-01.op.ru/" TargetMode="External"/><Relationship Id="rId19" Type="http://schemas.openxmlformats.org/officeDocument/2006/relationships/hyperlink" Target="http://garant-01.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-01.op.ru/" TargetMode="External"/><Relationship Id="rId14" Type="http://schemas.openxmlformats.org/officeDocument/2006/relationships/hyperlink" Target="http://garant-01.op.ru/" TargetMode="External"/><Relationship Id="rId22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2054</Words>
  <Characters>11713</Characters>
  <Application>Microsoft Office Word</Application>
  <DocSecurity>0</DocSecurity>
  <Lines>97</Lines>
  <Paragraphs>27</Paragraphs>
  <ScaleCrop>false</ScaleCrop>
  <Company/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2019-11-07T12:45:00Z</dcterms:created>
  <dcterms:modified xsi:type="dcterms:W3CDTF">2019-11-13T09:18:00Z</dcterms:modified>
</cp:coreProperties>
</file>