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38" w:leader="none"/>
          <w:tab w:val="right" w:pos="9924" w:leader="none"/>
        </w:tabs>
        <w:spacing w:lineRule="auto" w:line="240" w:before="0" w:after="0"/>
        <w:jc w:val="right"/>
        <w:rPr>
          <w:rFonts w:cs="Times New Roman"/>
          <w:b/>
          <w:b/>
          <w:bCs/>
          <w:sz w:val="24"/>
          <w:szCs w:val="24"/>
        </w:rPr>
      </w:pPr>
      <w:r>
        <w:rPr/>
      </w:r>
    </w:p>
    <w:p>
      <w:pPr>
        <w:pStyle w:val="Normal"/>
        <w:spacing w:lineRule="auto" w:line="240" w:before="0" w:after="0"/>
        <w:jc w:val="right"/>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drawing>
          <wp:anchor behindDoc="0" distT="0" distB="0" distL="114935" distR="114935" simplePos="0" locked="0" layoutInCell="1" allowOverlap="1" relativeHeight="2">
            <wp:simplePos x="0" y="0"/>
            <wp:positionH relativeFrom="column">
              <wp:posOffset>2560320</wp:posOffset>
            </wp:positionH>
            <wp:positionV relativeFrom="paragraph">
              <wp:posOffset>34290</wp:posOffset>
            </wp:positionV>
            <wp:extent cx="719455" cy="71945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59" t="-60" r="-59" b="-60"/>
                    <a:stretch>
                      <a:fillRect/>
                    </a:stretch>
                  </pic:blipFill>
                  <pic:spPr bwMode="auto">
                    <a:xfrm>
                      <a:off x="0" y="0"/>
                      <a:ext cx="719455" cy="719455"/>
                    </a:xfrm>
                    <a:prstGeom prst="rect">
                      <a:avLst/>
                    </a:prstGeom>
                  </pic:spPr>
                </pic:pic>
              </a:graphicData>
            </a:graphic>
          </wp:anchor>
        </w:drawing>
      </w:r>
    </w:p>
    <w:p>
      <w:pPr>
        <w:pStyle w:val="Normal"/>
        <w:spacing w:lineRule="auto" w:line="360" w:before="0" w:after="0"/>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tbl>
      <w:tblPr>
        <w:tblW w:w="9570" w:type="dxa"/>
        <w:jc w:val="left"/>
        <w:tblInd w:w="0" w:type="dxa"/>
        <w:tblBorders/>
        <w:tblCellMar>
          <w:top w:w="0" w:type="dxa"/>
          <w:left w:w="108" w:type="dxa"/>
          <w:bottom w:w="0" w:type="dxa"/>
          <w:right w:w="108" w:type="dxa"/>
        </w:tblCellMar>
      </w:tblPr>
      <w:tblGrid>
        <w:gridCol w:w="4195"/>
        <w:gridCol w:w="1173"/>
        <w:gridCol w:w="4202"/>
      </w:tblGrid>
      <w:tr>
        <w:trPr>
          <w:trHeight w:val="253" w:hRule="atLeast"/>
          <w:cantSplit w:val="true"/>
        </w:trPr>
        <w:tc>
          <w:tcPr>
            <w:tcW w:w="4195" w:type="dxa"/>
            <w:tcBorders/>
            <w:shd w:fill="auto" w:val="clear"/>
          </w:tcPr>
          <w:p>
            <w:pPr>
              <w:pStyle w:val="Normal"/>
              <w:spacing w:lineRule="auto" w:line="240" w:before="0" w:after="0"/>
              <w:jc w:val="center"/>
              <w:rPr>
                <w:rFonts w:ascii="Times New Roman" w:hAnsi="Times New Roman" w:eastAsia="Times New Roman" w:cs="Times New Roman"/>
                <w:b/>
                <w:b/>
                <w:bCs/>
                <w:szCs w:val="24"/>
                <w:lang w:val="ru-RU" w:eastAsia="ru-RU"/>
              </w:rPr>
            </w:pPr>
            <w:r>
              <w:rPr>
                <w:rFonts w:eastAsia="Times New Roman" w:cs="Times New Roman"/>
                <w:b/>
                <w:bCs/>
                <w:szCs w:val="24"/>
                <w:lang w:val="ru-RU" w:eastAsia="ru-RU"/>
              </w:rPr>
              <w:t>ЧĂВАШ  РЕСПУБЛИКИ</w:t>
            </w:r>
          </w:p>
        </w:tc>
        <w:tc>
          <w:tcPr>
            <w:tcW w:w="1173" w:type="dxa"/>
            <w:vMerge w:val="restart"/>
            <w:tcBorders/>
            <w:shd w:fill="auto" w:val="clear"/>
          </w:tcPr>
          <w:p>
            <w:pPr>
              <w:pStyle w:val="Normal"/>
              <w:snapToGrid w:val="false"/>
              <w:spacing w:lineRule="auto" w:line="240" w:before="0" w:after="0"/>
              <w:jc w:val="center"/>
              <w:rPr>
                <w:rFonts w:ascii="Times New Roman" w:hAnsi="Times New Roman" w:eastAsia="Times New Roman" w:cs="Times New Roman"/>
                <w:sz w:val="26"/>
                <w:szCs w:val="24"/>
                <w:lang w:eastAsia="ru-RU"/>
              </w:rPr>
            </w:pPr>
            <w:r>
              <w:rPr>
                <w:rFonts w:eastAsia="Times New Roman" w:cs="Times New Roman"/>
                <w:sz w:val="26"/>
                <w:szCs w:val="24"/>
                <w:lang w:eastAsia="ru-RU"/>
              </w:rPr>
            </w:r>
          </w:p>
        </w:tc>
        <w:tc>
          <w:tcPr>
            <w:tcW w:w="4202" w:type="dxa"/>
            <w:tcBorders/>
            <w:shd w:fill="auto" w:val="clear"/>
          </w:tcPr>
          <w:p>
            <w:pPr>
              <w:pStyle w:val="Normal"/>
              <w:spacing w:lineRule="auto" w:line="192" w:before="0" w:after="0"/>
              <w:jc w:val="center"/>
              <w:rPr>
                <w:rFonts w:ascii="Times New Roman" w:hAnsi="Times New Roman" w:eastAsia="Times New Roman" w:cs="Times New Roman"/>
                <w:b/>
                <w:b/>
                <w:bCs/>
                <w:szCs w:val="20"/>
                <w:lang w:val="ru-RU" w:eastAsia="ru-RU"/>
              </w:rPr>
            </w:pPr>
            <w:r>
              <w:rPr>
                <w:rFonts w:eastAsia="Times New Roman" w:cs="Times New Roman"/>
                <w:b/>
                <w:bCs/>
                <w:szCs w:val="20"/>
                <w:lang w:val="ru-RU" w:eastAsia="ru-RU"/>
              </w:rPr>
              <w:t xml:space="preserve">ЧУВАШСКАЯ РЕСПУБЛИКА </w:t>
            </w:r>
          </w:p>
        </w:tc>
      </w:tr>
      <w:tr>
        <w:trPr>
          <w:trHeight w:val="2355" w:hRule="atLeast"/>
          <w:cantSplit w:val="true"/>
        </w:trPr>
        <w:tc>
          <w:tcPr>
            <w:tcW w:w="4195" w:type="dxa"/>
            <w:tcBorders/>
            <w:shd w:fill="auto" w:val="clear"/>
          </w:tcPr>
          <w:p>
            <w:pPr>
              <w:pStyle w:val="Normal"/>
              <w:tabs>
                <w:tab w:val="left" w:pos="4285" w:leader="none"/>
              </w:tabs>
              <w:spacing w:lineRule="auto" w:line="192" w:before="80" w:after="0"/>
              <w:jc w:val="center"/>
              <w:rPr>
                <w:rFonts w:ascii="Times New Roman" w:hAnsi="Times New Roman" w:eastAsia="Times New Roman" w:cs="Times New Roman"/>
                <w:b/>
                <w:b/>
                <w:bCs/>
                <w:szCs w:val="20"/>
                <w:lang w:val="ru-RU" w:eastAsia="ru-RU"/>
              </w:rPr>
            </w:pPr>
            <w:r>
              <w:rPr>
                <w:rFonts w:eastAsia="Times New Roman" w:cs="Times New Roman"/>
                <w:b/>
                <w:bCs/>
                <w:szCs w:val="20"/>
                <w:lang w:val="ru-RU" w:eastAsia="ru-RU"/>
              </w:rPr>
              <w:t>ÇĚМĚРЛЕ РАЙОНĚН</w:t>
            </w:r>
          </w:p>
          <w:p>
            <w:pPr>
              <w:pStyle w:val="Normal"/>
              <w:tabs>
                <w:tab w:val="left" w:pos="4285" w:leader="none"/>
              </w:tabs>
              <w:spacing w:lineRule="auto" w:line="192" w:before="80" w:after="0"/>
              <w:jc w:val="center"/>
              <w:rPr>
                <w:rFonts w:ascii="Times New Roman" w:hAnsi="Times New Roman" w:eastAsia="Times New Roman" w:cs="Times New Roman"/>
                <w:b/>
                <w:b/>
                <w:bCs/>
                <w:szCs w:val="20"/>
                <w:lang w:val="ru-RU" w:eastAsia="ru-RU"/>
              </w:rPr>
            </w:pPr>
            <w:r>
              <w:rPr>
                <w:rFonts w:eastAsia="Times New Roman" w:cs="Times New Roman"/>
                <w:b/>
                <w:bCs/>
                <w:szCs w:val="20"/>
                <w:lang w:val="ru-RU" w:eastAsia="ru-RU"/>
              </w:rPr>
              <w:t xml:space="preserve">АНАТ КĂМАША ЯЛ ПОСЕЛЕНИЙĚН </w:t>
            </w:r>
          </w:p>
          <w:p>
            <w:pPr>
              <w:pStyle w:val="Normal"/>
              <w:tabs>
                <w:tab w:val="left" w:pos="4285" w:leader="none"/>
              </w:tabs>
              <w:spacing w:lineRule="auto" w:line="192" w:before="0" w:after="0"/>
              <w:jc w:val="center"/>
              <w:rPr/>
            </w:pPr>
            <w:r>
              <w:rPr>
                <w:rFonts w:eastAsia="Times New Roman" w:cs="Times New Roman"/>
                <w:b/>
                <w:bCs/>
                <w:szCs w:val="20"/>
                <w:lang w:val="ru-RU" w:eastAsia="ru-RU"/>
              </w:rPr>
              <w:t xml:space="preserve">АДМИНИСТРАЦИЙĚ </w:t>
            </w:r>
            <w:r>
              <w:rPr>
                <w:rFonts w:eastAsia="Times New Roman" w:cs="Times New Roman"/>
                <w:b/>
                <w:bCs/>
                <w:color w:val="000080"/>
                <w:sz w:val="26"/>
                <w:szCs w:val="20"/>
                <w:lang w:val="ru-RU" w:eastAsia="ru-RU"/>
              </w:rPr>
              <w:t xml:space="preserve"> </w:t>
            </w:r>
          </w:p>
          <w:p>
            <w:pPr>
              <w:pStyle w:val="Normal"/>
              <w:spacing w:lineRule="auto" w:line="192" w:before="0" w:after="0"/>
              <w:rPr>
                <w:rFonts w:ascii="Times New Roman" w:hAnsi="Times New Roman" w:eastAsia="Times New Roman" w:cs="Times New Roman"/>
                <w:b/>
                <w:b/>
                <w:bCs/>
                <w:color w:val="000080"/>
                <w:sz w:val="24"/>
                <w:szCs w:val="24"/>
                <w:lang w:eastAsia="ru-RU"/>
              </w:rPr>
            </w:pPr>
            <w:r>
              <w:rPr>
                <w:rFonts w:eastAsia="Times New Roman" w:cs="Times New Roman"/>
                <w:b/>
                <w:bCs/>
                <w:color w:val="000080"/>
                <w:sz w:val="24"/>
                <w:szCs w:val="24"/>
                <w:lang w:eastAsia="ru-RU"/>
              </w:rPr>
            </w:r>
          </w:p>
          <w:p>
            <w:pPr>
              <w:pStyle w:val="Normal"/>
              <w:tabs>
                <w:tab w:val="left" w:pos="4285" w:leader="none"/>
              </w:tabs>
              <w:spacing w:lineRule="auto" w:line="192" w:before="0" w:after="0"/>
              <w:jc w:val="center"/>
              <w:rPr>
                <w:rFonts w:ascii="Times New Roman" w:hAnsi="Times New Roman" w:eastAsia="Times New Roman" w:cs="Times New Roman"/>
                <w:b/>
                <w:b/>
                <w:bCs/>
                <w:color w:val="000080"/>
                <w:sz w:val="26"/>
                <w:szCs w:val="20"/>
                <w:lang w:val="ru-RU" w:eastAsia="ru-RU"/>
              </w:rPr>
            </w:pPr>
            <w:r>
              <w:rPr>
                <w:rFonts w:eastAsia="Times New Roman" w:cs="Times New Roman"/>
                <w:b/>
                <w:bCs/>
                <w:color w:val="000080"/>
                <w:sz w:val="26"/>
                <w:szCs w:val="20"/>
                <w:lang w:val="ru-RU" w:eastAsia="ru-RU"/>
              </w:rPr>
              <w:t>ЙЫШĂНУ</w:t>
            </w:r>
          </w:p>
          <w:p>
            <w:pPr>
              <w:pStyle w:val="Normal"/>
              <w:spacing w:lineRule="auto" w:line="240" w:before="0" w:after="0"/>
              <w:rPr>
                <w:rFonts w:ascii="Times New Roman" w:hAnsi="Times New Roman" w:eastAsia="Times New Roman" w:cs="Times New Roman"/>
                <w:b/>
                <w:b/>
                <w:bCs/>
                <w:color w:val="000080"/>
                <w:sz w:val="24"/>
                <w:szCs w:val="24"/>
                <w:lang w:val="ru-RU" w:eastAsia="ru-RU"/>
              </w:rPr>
            </w:pPr>
            <w:r>
              <w:rPr>
                <w:rFonts w:eastAsia="Times New Roman" w:cs="Times New Roman"/>
                <w:b/>
                <w:bCs/>
                <w:color w:val="000080"/>
                <w:sz w:val="24"/>
                <w:szCs w:val="24"/>
                <w:lang w:val="ru-RU" w:eastAsia="ru-RU"/>
              </w:rPr>
            </w:r>
          </w:p>
          <w:p>
            <w:pPr>
              <w:pStyle w:val="Normal"/>
              <w:spacing w:lineRule="auto" w:line="240" w:before="0" w:after="0"/>
              <w:ind w:left="0" w:right="-35" w:hanging="0"/>
              <w:jc w:val="center"/>
              <w:rPr>
                <w:rFonts w:ascii="Times New Roman" w:hAnsi="Times New Roman" w:eastAsia="Times New Roman" w:cs="Times New Roman"/>
                <w:sz w:val="26"/>
                <w:szCs w:val="20"/>
                <w:lang w:val="ru-RU" w:eastAsia="ru-RU"/>
              </w:rPr>
            </w:pPr>
            <w:r>
              <w:rPr>
                <w:rFonts w:eastAsia="Times New Roman" w:cs="Times New Roman"/>
                <w:sz w:val="26"/>
                <w:szCs w:val="20"/>
                <w:lang w:val="ru-RU" w:eastAsia="ru-RU"/>
              </w:rPr>
              <w:t>№</w:t>
            </w:r>
          </w:p>
          <w:p>
            <w:pPr>
              <w:pStyle w:val="Normal"/>
              <w:spacing w:lineRule="auto" w:line="240" w:before="0" w:after="0"/>
              <w:jc w:val="center"/>
              <w:rPr>
                <w:rFonts w:ascii="Times New Roman" w:hAnsi="Times New Roman" w:eastAsia="Times New Roman" w:cs="Times New Roman"/>
                <w:sz w:val="26"/>
                <w:szCs w:val="24"/>
                <w:lang w:val="ru-RU" w:eastAsia="ru-RU"/>
              </w:rPr>
            </w:pPr>
            <w:r>
              <w:rPr>
                <w:rFonts w:eastAsia="Times New Roman" w:cs="Times New Roman"/>
                <w:sz w:val="26"/>
                <w:szCs w:val="24"/>
                <w:lang w:val="ru-RU" w:eastAsia="ru-RU"/>
              </w:rPr>
              <w:t>Анат Кăмаша сали</w:t>
            </w:r>
          </w:p>
        </w:tc>
        <w:tc>
          <w:tcPr>
            <w:tcW w:w="1173" w:type="dxa"/>
            <w:vMerge w:val="continue"/>
            <w:tcBorders/>
            <w:shd w:fill="auto" w:val="clear"/>
          </w:tcPr>
          <w:p>
            <w:pPr>
              <w:pStyle w:val="Normal"/>
              <w:snapToGrid w:val="false"/>
              <w:spacing w:lineRule="auto" w:line="240" w:before="0" w:after="0"/>
              <w:rPr>
                <w:rFonts w:ascii="Times New Roman" w:hAnsi="Times New Roman" w:eastAsia="Times New Roman" w:cs="Times New Roman"/>
                <w:sz w:val="26"/>
                <w:szCs w:val="24"/>
                <w:lang w:val="ru-RU" w:eastAsia="ru-RU"/>
              </w:rPr>
            </w:pPr>
            <w:r>
              <w:rPr>
                <w:rFonts w:eastAsia="Times New Roman" w:cs="Times New Roman"/>
                <w:sz w:val="26"/>
                <w:szCs w:val="24"/>
                <w:lang w:val="ru-RU" w:eastAsia="ru-RU"/>
              </w:rPr>
            </w:r>
          </w:p>
        </w:tc>
        <w:tc>
          <w:tcPr>
            <w:tcW w:w="4202" w:type="dxa"/>
            <w:tcBorders/>
            <w:shd w:fill="auto" w:val="clear"/>
          </w:tcPr>
          <w:p>
            <w:pPr>
              <w:pStyle w:val="Normal"/>
              <w:spacing w:lineRule="auto" w:line="192" w:before="80" w:after="0"/>
              <w:jc w:val="center"/>
              <w:rPr>
                <w:rFonts w:ascii="Times New Roman" w:hAnsi="Times New Roman" w:eastAsia="Times New Roman" w:cs="Times New Roman"/>
                <w:b/>
                <w:b/>
                <w:bCs/>
                <w:szCs w:val="20"/>
                <w:lang w:val="ru-RU" w:eastAsia="ru-RU"/>
              </w:rPr>
            </w:pPr>
            <w:r>
              <w:rPr>
                <w:rFonts w:eastAsia="Times New Roman" w:cs="Times New Roman"/>
                <w:b/>
                <w:bCs/>
                <w:szCs w:val="20"/>
                <w:lang w:val="ru-RU" w:eastAsia="ru-RU"/>
              </w:rPr>
              <w:t>АДМИНИСТРАЦИЯ</w:t>
            </w:r>
          </w:p>
          <w:p>
            <w:pPr>
              <w:pStyle w:val="Normal"/>
              <w:spacing w:lineRule="auto" w:line="240" w:before="0" w:after="0"/>
              <w:jc w:val="center"/>
              <w:rPr/>
            </w:pPr>
            <w:r>
              <w:rPr>
                <w:rFonts w:eastAsia="Times New Roman" w:cs="Times New Roman"/>
                <w:b/>
                <w:sz w:val="24"/>
                <w:szCs w:val="24"/>
                <w:lang w:eastAsia="ru-RU"/>
              </w:rPr>
              <w:t xml:space="preserve">    </w:t>
            </w:r>
            <w:r>
              <w:rPr>
                <w:rFonts w:eastAsia="Times New Roman" w:cs="Times New Roman"/>
                <w:b/>
                <w:sz w:val="24"/>
                <w:szCs w:val="24"/>
                <w:lang w:eastAsia="ru-RU"/>
              </w:rPr>
              <w:t>НИЖНЕКУМАШКИНСКОГО   СЕЛЬСКОГО ПОСЕЛЕНИЯ</w:t>
            </w:r>
          </w:p>
          <w:p>
            <w:pPr>
              <w:pStyle w:val="Normal"/>
              <w:spacing w:lineRule="auto" w:line="192" w:before="0" w:after="0"/>
              <w:jc w:val="center"/>
              <w:rPr/>
            </w:pPr>
            <w:r>
              <w:rPr>
                <w:rFonts w:eastAsia="Times New Roman" w:cs="Times New Roman"/>
                <w:b/>
                <w:bCs/>
                <w:szCs w:val="20"/>
                <w:lang w:val="ru-RU" w:eastAsia="ru-RU"/>
              </w:rPr>
              <w:t>ШУМЕРЛИНСКОГО РАЙОНА</w:t>
            </w:r>
            <w:r>
              <w:rPr>
                <w:rFonts w:eastAsia="Times New Roman" w:cs="Times New Roman"/>
                <w:sz w:val="26"/>
                <w:szCs w:val="20"/>
                <w:lang w:val="ru-RU" w:eastAsia="ru-RU"/>
              </w:rPr>
              <w:t xml:space="preserve"> </w:t>
            </w:r>
          </w:p>
          <w:p>
            <w:pPr>
              <w:pStyle w:val="Normal"/>
              <w:spacing w:lineRule="auto" w:line="192" w:before="0" w:after="0"/>
              <w:jc w:val="center"/>
              <w:rPr>
                <w:rFonts w:ascii="Courier New" w:hAnsi="Courier New" w:eastAsia="Times New Roman" w:cs="Courier New"/>
                <w:b/>
                <w:b/>
                <w:bCs/>
                <w:color w:val="000080"/>
                <w:sz w:val="20"/>
                <w:szCs w:val="20"/>
                <w:lang w:val="ru-RU" w:eastAsia="ru-RU"/>
              </w:rPr>
            </w:pPr>
            <w:r>
              <w:rPr>
                <w:rFonts w:eastAsia="Times New Roman" w:cs="Courier New" w:ascii="Courier New" w:hAnsi="Courier New"/>
                <w:b/>
                <w:bCs/>
                <w:color w:val="000080"/>
                <w:sz w:val="20"/>
                <w:szCs w:val="20"/>
                <w:lang w:val="ru-RU" w:eastAsia="ru-RU"/>
              </w:rPr>
            </w:r>
          </w:p>
          <w:p>
            <w:pPr>
              <w:pStyle w:val="Normal"/>
              <w:spacing w:lineRule="auto" w:line="192" w:before="0" w:after="0"/>
              <w:jc w:val="center"/>
              <w:rPr>
                <w:rFonts w:ascii="Times New Roman" w:hAnsi="Times New Roman" w:eastAsia="Times New Roman" w:cs="Times New Roman"/>
                <w:b/>
                <w:b/>
                <w:bCs/>
                <w:color w:val="000080"/>
                <w:sz w:val="26"/>
                <w:szCs w:val="20"/>
                <w:lang w:val="ru-RU" w:eastAsia="ru-RU"/>
              </w:rPr>
            </w:pPr>
            <w:r>
              <w:rPr>
                <w:rFonts w:eastAsia="Times New Roman" w:cs="Times New Roman"/>
                <w:b/>
                <w:bCs/>
                <w:color w:val="000080"/>
                <w:sz w:val="26"/>
                <w:szCs w:val="20"/>
                <w:lang w:val="ru-RU" w:eastAsia="ru-RU"/>
              </w:rPr>
              <w:t>ПОСТАНОВЛЕНИЕ</w:t>
            </w:r>
          </w:p>
          <w:p>
            <w:pPr>
              <w:pStyle w:val="Normal"/>
              <w:spacing w:lineRule="auto" w:line="240" w:before="0" w:after="0"/>
              <w:rPr>
                <w:rFonts w:ascii="Times New Roman" w:hAnsi="Times New Roman" w:eastAsia="Times New Roman" w:cs="Times New Roman"/>
                <w:b/>
                <w:b/>
                <w:bCs/>
                <w:color w:val="000080"/>
                <w:sz w:val="24"/>
                <w:szCs w:val="24"/>
                <w:lang w:val="ru-RU" w:eastAsia="ru-RU"/>
              </w:rPr>
            </w:pPr>
            <w:r>
              <w:rPr>
                <w:rFonts w:eastAsia="Times New Roman" w:cs="Times New Roman"/>
                <w:b/>
                <w:bCs/>
                <w:color w:val="000080"/>
                <w:sz w:val="24"/>
                <w:szCs w:val="24"/>
                <w:lang w:val="ru-RU" w:eastAsia="ru-RU"/>
              </w:rPr>
            </w:r>
          </w:p>
          <w:p>
            <w:pPr>
              <w:pStyle w:val="Normal"/>
              <w:spacing w:lineRule="auto" w:line="240" w:before="0" w:after="0"/>
              <w:jc w:val="center"/>
              <w:rPr/>
            </w:pPr>
            <w:r>
              <w:rPr>
                <w:rFonts w:eastAsia="Times New Roman" w:cs="Times New Roman"/>
                <w:sz w:val="26"/>
                <w:szCs w:val="24"/>
                <w:lang w:val="ru-RU" w:eastAsia="ru-RU"/>
              </w:rPr>
              <w:t xml:space="preserve">28.08.2019 г. </w:t>
            </w:r>
            <w:r>
              <w:rPr>
                <w:rFonts w:eastAsia="Times New Roman" w:cs="Times New Roman"/>
                <w:sz w:val="26"/>
                <w:szCs w:val="24"/>
                <w:lang w:val="ru-RU" w:eastAsia="ru-RU"/>
              </w:rPr>
              <w:t xml:space="preserve">№  </w:t>
            </w:r>
            <w:r>
              <w:rPr>
                <w:rFonts w:eastAsia="Times New Roman" w:cs="Times New Roman"/>
                <w:sz w:val="26"/>
                <w:szCs w:val="24"/>
                <w:lang w:val="ru-RU" w:eastAsia="ru-RU"/>
              </w:rPr>
              <w:t>73</w:t>
            </w:r>
          </w:p>
          <w:p>
            <w:pPr>
              <w:pStyle w:val="Normal"/>
              <w:spacing w:lineRule="auto" w:line="240" w:before="0" w:after="0"/>
              <w:jc w:val="center"/>
              <w:rPr>
                <w:rFonts w:ascii="Times New Roman" w:hAnsi="Times New Roman" w:eastAsia="Times New Roman" w:cs="Times New Roman"/>
                <w:sz w:val="26"/>
                <w:szCs w:val="24"/>
                <w:lang w:val="ru-RU" w:eastAsia="ru-RU"/>
              </w:rPr>
            </w:pPr>
            <w:r>
              <w:rPr>
                <w:rFonts w:eastAsia="Times New Roman" w:cs="Times New Roman"/>
                <w:sz w:val="26"/>
                <w:szCs w:val="24"/>
                <w:lang w:val="ru-RU" w:eastAsia="ru-RU"/>
              </w:rPr>
              <w:t>село Нижняя Кумашка</w:t>
            </w:r>
          </w:p>
        </w:tc>
      </w:tr>
    </w:tbl>
    <w:p>
      <w:pPr>
        <w:pStyle w:val="Normal"/>
        <w:spacing w:lineRule="auto" w:line="240" w:before="0" w:after="0"/>
        <w:ind w:left="0" w:right="5246" w:hanging="0"/>
        <w:jc w:val="both"/>
        <w:rPr>
          <w:rFonts w:ascii="Times New Roman" w:hAnsi="Times New Roman" w:cs="Times New Roman"/>
          <w:sz w:val="24"/>
          <w:szCs w:val="24"/>
        </w:rPr>
      </w:pPr>
      <w:r>
        <w:rPr>
          <w:rFonts w:cs="Times New Roman"/>
          <w:sz w:val="24"/>
          <w:szCs w:val="24"/>
        </w:rPr>
      </w:r>
    </w:p>
    <w:p>
      <w:pPr>
        <w:pStyle w:val="Normal"/>
        <w:ind w:right="4677" w:hanging="0"/>
        <w:jc w:val="both"/>
        <w:rPr/>
      </w:pPr>
      <w:bookmarkStart w:id="0" w:name="_GoBack"/>
      <w:bookmarkEnd w:id="0"/>
      <w:r>
        <w:rPr/>
        <w:t xml:space="preserve">О внесении изменений в постановление </w:t>
      </w:r>
      <w:r>
        <w:rPr>
          <w:rFonts w:eastAsia="Calibri" w:eastAsiaTheme="minorHAnsi"/>
          <w:lang w:eastAsia="en-US"/>
        </w:rPr>
        <w:t xml:space="preserve">администрации Нижнекумашкинского сельского поселения Шумерлинского района от </w:t>
      </w:r>
      <w:r>
        <w:rPr>
          <w:rFonts w:eastAsia="Calibri" w:cs="Times New Roman"/>
          <w:color w:val="000000"/>
          <w:sz w:val="24"/>
          <w:szCs w:val="24"/>
          <w:lang w:eastAsia="en-US"/>
        </w:rPr>
        <w:t>01.04.2016 № 37</w:t>
      </w:r>
      <w:r>
        <w:rPr>
          <w:rFonts w:eastAsia="Calibri" w:eastAsiaTheme="minorHAnsi"/>
          <w:lang w:eastAsia="en-US"/>
        </w:rPr>
        <w:t xml:space="preserve">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pPr>
        <w:pStyle w:val="Normal"/>
        <w:ind w:right="4677" w:hanging="0"/>
        <w:jc w:val="both"/>
        <w:rPr>
          <w:rFonts w:eastAsia="Calibri" w:eastAsiaTheme="minorHAnsi"/>
          <w:lang w:eastAsia="en-US"/>
        </w:rPr>
      </w:pPr>
      <w:r>
        <w:rPr>
          <w:rFonts w:eastAsia="Calibri" w:eastAsiaTheme="minorHAnsi"/>
          <w:lang w:eastAsia="en-US"/>
        </w:rPr>
      </w:r>
    </w:p>
    <w:p>
      <w:pPr>
        <w:pStyle w:val="Normal"/>
        <w:jc w:val="both"/>
        <w:rPr/>
      </w:pPr>
      <w:r>
        <w:rPr/>
        <w:t xml:space="preserve">         </w:t>
      </w:r>
      <w:r>
        <w:rPr/>
        <w:t>В соответствии с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27.06.2019 г. № 151-ФЗ «</w:t>
      </w:r>
      <w:r>
        <w:rPr>
          <w:rFonts w:eastAsia="Calibri" w:eastAsiaTheme="minorHAnsi"/>
          <w:lang w:eastAsia="en-US"/>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Pr/>
        <w:t>»</w:t>
      </w:r>
    </w:p>
    <w:p>
      <w:pPr>
        <w:pStyle w:val="Normal"/>
        <w:jc w:val="both"/>
        <w:rPr/>
      </w:pPr>
      <w:r>
        <w:rPr/>
      </w:r>
    </w:p>
    <w:p>
      <w:pPr>
        <w:pStyle w:val="Normal"/>
        <w:jc w:val="both"/>
        <w:rPr/>
      </w:pPr>
      <w:r>
        <w:rPr/>
        <w:t>администрация</w:t>
      </w:r>
      <w:r>
        <w:rPr>
          <w:rFonts w:eastAsia="Calibri" w:eastAsiaTheme="minorHAnsi"/>
          <w:lang w:eastAsia="en-US"/>
        </w:rPr>
        <w:t xml:space="preserve"> Нижнекумашкинского сельского поселения</w:t>
      </w:r>
      <w:r>
        <w:rPr/>
        <w:t xml:space="preserve"> п о с т а н о в л я е т:</w:t>
      </w:r>
    </w:p>
    <w:p>
      <w:pPr>
        <w:pStyle w:val="Normal"/>
        <w:jc w:val="both"/>
        <w:rPr/>
      </w:pPr>
      <w:r>
        <w:rPr/>
      </w:r>
    </w:p>
    <w:p>
      <w:pPr>
        <w:pStyle w:val="ListParagraph"/>
        <w:widowControl/>
        <w:numPr>
          <w:ilvl w:val="0"/>
          <w:numId w:val="1"/>
        </w:numPr>
        <w:bidi w:val="0"/>
        <w:spacing w:lineRule="auto" w:line="240" w:before="0" w:after="0"/>
        <w:ind w:left="0" w:right="0" w:hanging="0"/>
        <w:contextualSpacing/>
        <w:jc w:val="both"/>
        <w:rPr/>
      </w:pPr>
      <w:r>
        <w:rPr/>
        <w:t xml:space="preserve">Внести в постановление </w:t>
      </w:r>
      <w:r>
        <w:rPr>
          <w:rFonts w:eastAsia="Calibri" w:eastAsiaTheme="minorHAnsi"/>
          <w:lang w:eastAsia="en-US"/>
        </w:rPr>
        <w:t xml:space="preserve">администрации Нижнекумашкинского сельского поселения Шумерлинского района от </w:t>
      </w:r>
      <w:r>
        <w:rPr>
          <w:rFonts w:eastAsia="Calibri" w:cs="Times New Roman"/>
          <w:color w:val="000000"/>
          <w:sz w:val="24"/>
          <w:szCs w:val="24"/>
          <w:lang w:eastAsia="en-US"/>
        </w:rPr>
        <w:t>01.04.2016 № 37</w:t>
      </w:r>
      <w:r>
        <w:rPr>
          <w:rFonts w:eastAsia="Calibri" w:eastAsiaTheme="minorHAnsi"/>
          <w:lang w:eastAsia="en-US"/>
        </w:rPr>
        <w:t xml:space="preserve">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следующие изменения:</w:t>
      </w:r>
    </w:p>
    <w:p>
      <w:pPr>
        <w:pStyle w:val="ListParagraph"/>
        <w:numPr>
          <w:ilvl w:val="1"/>
          <w:numId w:val="1"/>
        </w:numPr>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в пункте 2.2. абзац второй изложить в следующей редакции:</w:t>
      </w:r>
    </w:p>
    <w:p>
      <w:pPr>
        <w:pStyle w:val="Normal"/>
        <w:ind w:firstLine="567"/>
        <w:jc w:val="both"/>
        <w:rPr/>
      </w:pPr>
      <w:r>
        <w:rPr>
          <w:rFonts w:eastAsia="Calibri" w:eastAsiaTheme="minorHAnsi"/>
          <w:lang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w:t>
      </w:r>
      <w:r>
        <w:rPr/>
        <w:t>автономное учреждение "Многофункциональный центр по предоставлению государственных и муниципальных услуг" муниципального образования Шумерлинского района Чувашской Республики (далее - МФЦ)</w:t>
      </w:r>
      <w:r>
        <w:rPr>
          <w:rFonts w:eastAsia="Calibri" w:eastAsiaTheme="minorHAnsi"/>
          <w:lang w:eastAsia="en-US"/>
        </w:rPr>
        <w:t xml:space="preserve">,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
        <w:r>
          <w:rPr>
            <w:rStyle w:val="ListLabel3"/>
            <w:rFonts w:eastAsia="Calibri" w:eastAsiaTheme="minorHAnsi"/>
            <w:color w:val="0000FF"/>
            <w:lang w:eastAsia="en-US"/>
          </w:rPr>
          <w:t>законом</w:t>
        </w:r>
      </w:hyperlink>
      <w:r>
        <w:rPr>
          <w:rFonts w:eastAsia="Calibri" w:eastAsiaTheme="minorHAnsi"/>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Чувашской Республики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ListParagraph"/>
        <w:numPr>
          <w:ilvl w:val="1"/>
          <w:numId w:val="1"/>
        </w:numPr>
        <w:ind w:left="0" w:firstLine="70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Пункт 2.6 изложить в новой редакции:</w:t>
      </w:r>
    </w:p>
    <w:p>
      <w:pPr>
        <w:pStyle w:val="ListParagraph"/>
        <w:ind w:left="0" w:firstLine="709"/>
        <w:jc w:val="both"/>
        <w:rPr>
          <w:rFonts w:eastAsia="Calibri" w:eastAsiaTheme="minorHAnsi"/>
          <w:lang w:eastAsia="en-US"/>
        </w:rPr>
      </w:pPr>
      <w:r>
        <w:rPr>
          <w:rFonts w:eastAsia="Calibri" w:eastAsiaTheme="minorHAnsi"/>
          <w:lang w:eastAsia="en-US"/>
        </w:rPr>
        <w:t>«2.6. Перечень документов, необходимых для получения муниципальной услуги</w:t>
      </w:r>
    </w:p>
    <w:p>
      <w:pPr>
        <w:pStyle w:val="ListParagraph"/>
        <w:ind w:left="0" w:firstLine="709"/>
        <w:jc w:val="both"/>
        <w:rPr>
          <w:rFonts w:eastAsia="Calibri" w:eastAsiaTheme="minorHAnsi"/>
          <w:lang w:eastAsia="en-US"/>
        </w:rPr>
      </w:pPr>
      <w:r>
        <w:rPr>
          <w:rFonts w:eastAsia="Calibri" w:eastAsiaTheme="minorHAnsi"/>
          <w:lang w:eastAsia="en-US"/>
        </w:rPr>
      </w:r>
    </w:p>
    <w:p>
      <w:pPr>
        <w:pStyle w:val="ListParagraph"/>
        <w:ind w:left="0" w:firstLine="709"/>
        <w:jc w:val="both"/>
        <w:rPr>
          <w:rFonts w:eastAsia="Calibri" w:eastAsiaTheme="minorHAnsi"/>
          <w:lang w:eastAsia="en-US"/>
        </w:rPr>
      </w:pPr>
      <w:r>
        <w:rPr>
          <w:rFonts w:eastAsia="Calibri" w:eastAsiaTheme="minorHAnsi"/>
          <w:lang w:eastAsia="en-US"/>
        </w:rPr>
        <w:t>Основанием для получения муниципальной услуги является представление заявителем (или уполномоченным им лица) заявления о выдаче Разрешения (далее - Заявление) в администрацию</w:t>
      </w:r>
      <w:r>
        <w:rPr/>
        <w:t xml:space="preserve"> </w:t>
      </w:r>
      <w:r>
        <w:rPr>
          <w:rFonts w:eastAsia="Calibri" w:eastAsiaTheme="minorHAnsi"/>
          <w:lang w:eastAsia="en-US"/>
        </w:rPr>
        <w:t>Нижнекумашкинского сельского поселения  Шумерлинского района, или МФЦ.</w:t>
      </w:r>
    </w:p>
    <w:p>
      <w:pPr>
        <w:pStyle w:val="ListParagraph"/>
        <w:ind w:left="0" w:firstLine="709"/>
        <w:jc w:val="both"/>
        <w:rPr>
          <w:rFonts w:eastAsia="Calibri" w:eastAsiaTheme="minorHAnsi"/>
          <w:lang w:eastAsia="en-US"/>
        </w:rPr>
      </w:pPr>
      <w:r>
        <w:rPr>
          <w:rFonts w:eastAsia="Calibri" w:eastAsiaTheme="minorHAnsi"/>
          <w:lang w:eastAsia="en-US"/>
        </w:rPr>
        <w:t>Заявление составляется в 2-х экземплярах и подписывается заявителем, может быть заполнено от руки или машинописным способом, распечатано посредством электронных печатных устройств.</w:t>
      </w:r>
    </w:p>
    <w:p>
      <w:pPr>
        <w:pStyle w:val="ListParagraph"/>
        <w:ind w:left="0" w:firstLine="709"/>
        <w:jc w:val="both"/>
        <w:rPr>
          <w:rFonts w:eastAsia="Calibri" w:eastAsiaTheme="minorHAnsi"/>
          <w:lang w:eastAsia="en-US"/>
        </w:rPr>
      </w:pPr>
      <w:r>
        <w:rPr>
          <w:rFonts w:eastAsia="Calibri" w:eastAsiaTheme="minorHAnsi"/>
          <w:lang w:eastAsia="en-US"/>
        </w:rPr>
        <w:t>Днем приема Заявления считается дата регистрации факта приема Заявления в администрации Нижнекумашкинского сельского поселения.</w:t>
      </w:r>
    </w:p>
    <w:p>
      <w:pPr>
        <w:pStyle w:val="ListParagraph"/>
        <w:ind w:left="0" w:firstLine="709"/>
        <w:jc w:val="both"/>
        <w:rPr>
          <w:rFonts w:eastAsia="Calibri" w:eastAsiaTheme="minorHAnsi"/>
          <w:lang w:eastAsia="en-US"/>
        </w:rPr>
      </w:pPr>
      <w:r>
        <w:rPr>
          <w:rFonts w:eastAsia="Calibri" w:eastAsiaTheme="minorHAnsi"/>
          <w:lang w:eastAsia="en-US"/>
        </w:rPr>
        <w:t>Образцы Заявлений, а также примеры их заполнения размещены на информационном стенде, официальном сайте администрации Нижнекумашкинского сельского поселения Шумерлинского района.</w:t>
      </w:r>
    </w:p>
    <w:p>
      <w:pPr>
        <w:pStyle w:val="ListParagraph"/>
        <w:ind w:left="0" w:firstLine="709"/>
        <w:jc w:val="both"/>
        <w:rPr>
          <w:rFonts w:eastAsia="Calibri" w:eastAsiaTheme="minorHAnsi"/>
          <w:lang w:eastAsia="en-US"/>
        </w:rPr>
      </w:pPr>
      <w:r>
        <w:rPr>
          <w:rFonts w:eastAsia="Calibri" w:eastAsiaTheme="minorHAnsi"/>
          <w:lang w:eastAsia="en-US"/>
        </w:rPr>
        <w:t>К Заявлению прилагаются следующие документы:</w:t>
      </w:r>
    </w:p>
    <w:p>
      <w:pPr>
        <w:pStyle w:val="ListParagraph"/>
        <w:ind w:left="0" w:firstLine="709"/>
        <w:jc w:val="both"/>
        <w:rPr>
          <w:rFonts w:eastAsia="Calibri" w:eastAsiaTheme="minorHAnsi"/>
          <w:lang w:eastAsia="en-US"/>
        </w:rPr>
      </w:pPr>
      <w:r>
        <w:rPr>
          <w:rFonts w:eastAsia="Calibri" w:eastAsiaTheme="minorHAnsi"/>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
    <w:p>
      <w:pPr>
        <w:pStyle w:val="ListParagraph"/>
        <w:ind w:left="0" w:firstLine="709"/>
        <w:jc w:val="both"/>
        <w:rPr>
          <w:rFonts w:eastAsia="Calibri" w:eastAsiaTheme="minorHAnsi"/>
          <w:lang w:eastAsia="en-US"/>
        </w:rPr>
      </w:pPr>
      <w:r>
        <w:rPr>
          <w:rFonts w:eastAsia="Calibri" w:eastAsiaTheme="minorHAnsi"/>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ListParagraph"/>
        <w:ind w:left="0" w:firstLine="709"/>
        <w:jc w:val="both"/>
        <w:rPr>
          <w:rFonts w:eastAsia="Calibri" w:eastAsiaTheme="minorHAnsi"/>
          <w:lang w:eastAsia="en-US"/>
        </w:rPr>
      </w:pPr>
      <w:r>
        <w:rPr>
          <w:rFonts w:eastAsia="Calibri" w:eastAsiaTheme="minorHAnsi"/>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ListParagraph"/>
        <w:ind w:left="0" w:firstLine="709"/>
        <w:jc w:val="both"/>
        <w:rPr>
          <w:rFonts w:eastAsia="Calibri" w:eastAsiaTheme="minorHAnsi"/>
          <w:lang w:eastAsia="en-US"/>
        </w:rPr>
      </w:pPr>
      <w:r>
        <w:rPr>
          <w:rFonts w:eastAsia="Calibri" w:eastAsiaTheme="minorHAnsi"/>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pPr>
        <w:pStyle w:val="ListParagraph"/>
        <w:ind w:left="0" w:firstLine="709"/>
        <w:jc w:val="both"/>
        <w:rPr>
          <w:rFonts w:eastAsia="Calibri" w:eastAsiaTheme="minorHAnsi"/>
          <w:lang w:eastAsia="en-US"/>
        </w:rPr>
      </w:pPr>
      <w:r>
        <w:rPr>
          <w:rFonts w:eastAsia="Calibri" w:eastAsiaTheme="minorHAnsi"/>
          <w:lang w:eastAsia="en-US"/>
        </w:rPr>
        <w:t>1) пояснительная записка;</w:t>
      </w:r>
    </w:p>
    <w:p>
      <w:pPr>
        <w:pStyle w:val="ListParagraph"/>
        <w:ind w:left="0" w:firstLine="709"/>
        <w:jc w:val="both"/>
        <w:rPr>
          <w:rFonts w:eastAsia="Calibri" w:eastAsiaTheme="minorHAnsi"/>
          <w:lang w:eastAsia="en-US"/>
        </w:rPr>
      </w:pPr>
      <w:r>
        <w:rPr>
          <w:rFonts w:eastAsia="Calibri" w:eastAsiaTheme="minorHAnsi"/>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ListParagraph"/>
        <w:ind w:left="0" w:firstLine="709"/>
        <w:jc w:val="both"/>
        <w:rPr>
          <w:rFonts w:eastAsia="Calibri" w:eastAsiaTheme="minorHAnsi"/>
          <w:lang w:eastAsia="en-US"/>
        </w:rPr>
      </w:pPr>
      <w:r>
        <w:rPr>
          <w:rFonts w:eastAsia="Calibri" w:eastAsiaTheme="minorHAnsi"/>
          <w:lang w:eastAsia="en-US"/>
        </w:rPr>
        <w:t>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ListParagraph"/>
        <w:ind w:left="0" w:firstLine="709"/>
        <w:jc w:val="both"/>
        <w:rPr>
          <w:rFonts w:eastAsia="Calibri" w:eastAsiaTheme="minorHAnsi"/>
          <w:lang w:eastAsia="en-US"/>
        </w:rPr>
      </w:pPr>
      <w:r>
        <w:rPr>
          <w:rFonts w:eastAsia="Calibri" w:eastAsiaTheme="minorHAnsi"/>
          <w:lang w:eastAsia="en-US"/>
        </w:rPr>
        <w:t>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ListParagraph"/>
        <w:ind w:left="0" w:firstLine="709"/>
        <w:jc w:val="both"/>
        <w:rPr>
          <w:rFonts w:eastAsia="Calibri" w:eastAsiaTheme="minorHAnsi"/>
          <w:lang w:eastAsia="en-US"/>
        </w:rPr>
      </w:pPr>
      <w:r>
        <w:rPr>
          <w:rFonts w:eastAsia="Calibri" w:eastAsiaTheme="minorHAnsi"/>
          <w:lang w:eastAsia="en-US"/>
        </w:rPr>
        <w:t>4. Положительное заключение</w:t>
      </w:r>
      <w:r>
        <w:rPr/>
        <w:t xml:space="preserve">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Pr>
          <w:rFonts w:eastAsia="Calibri" w:eastAsiaTheme="minorHAnsi"/>
          <w:lang w:eastAsia="en-US"/>
        </w:rPr>
        <w:t xml:space="preserve"> (применительно к отдельным этапам строительства в случае, предусмотренном частью 12.1 статьи 48 Градостроительного кодекса РФ (далее-Кодекс)),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 в случаях, предусмотренных частью 6 статьи 49 Кодекса (документ предоставляется в рамках межведомственного и межуровневого взаимодействия).</w:t>
      </w:r>
    </w:p>
    <w:p>
      <w:pPr>
        <w:pStyle w:val="Normal"/>
        <w:ind w:firstLine="709"/>
        <w:jc w:val="both"/>
        <w:rPr/>
      </w:pPr>
      <w:r>
        <w:rPr>
          <w:rFonts w:eastAsia="Calibri" w:eastAsiaTheme="minorHAnsi"/>
          <w:lang w:eastAsia="en-US"/>
        </w:rPr>
        <w:t>4.1. Подтверждение соответствия вносимых в проектную документацию изменений требованиям, указанным в части 3.8 статьи 49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выданного в соответствии с частью 3.8 статьи 49 Кодекса.</w:t>
      </w:r>
    </w:p>
    <w:p>
      <w:pPr>
        <w:pStyle w:val="Normal"/>
        <w:ind w:firstLine="709"/>
        <w:jc w:val="both"/>
        <w:rPr/>
      </w:pPr>
      <w:r>
        <w:rPr>
          <w:rFonts w:eastAsia="Calibri" w:eastAsiaTheme="minorHAnsi"/>
          <w:lang w:eastAsia="en-US"/>
        </w:rPr>
        <w:t xml:space="preserve">4.2. Подтверждение соответствия вносимых в проектную документацию изменений требованиям, указанным в </w:t>
      </w:r>
      <w:hyperlink r:id="rId4">
        <w:r>
          <w:rPr>
            <w:rStyle w:val="ListLabel3"/>
            <w:rFonts w:eastAsia="Calibri" w:eastAsiaTheme="minorHAnsi"/>
            <w:color w:val="0000FF"/>
            <w:lang w:eastAsia="en-US"/>
          </w:rPr>
          <w:t>части 3.9 статьи 49</w:t>
        </w:r>
      </w:hyperlink>
      <w:r>
        <w:rPr>
          <w:rFonts w:eastAsia="Calibri" w:eastAsiaTheme="minorHAnsi"/>
          <w:lang w:eastAsia="en-US"/>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
        <w:r>
          <w:rPr>
            <w:rStyle w:val="ListLabel3"/>
            <w:rFonts w:eastAsia="Calibri" w:eastAsiaTheme="minorHAnsi"/>
            <w:color w:val="0000FF"/>
            <w:lang w:eastAsia="en-US"/>
          </w:rPr>
          <w:t>частью 3.9 статьи 49</w:t>
        </w:r>
      </w:hyperlink>
      <w:r>
        <w:rPr>
          <w:rFonts w:eastAsia="Calibri" w:eastAsiaTheme="minorHAnsi"/>
          <w:lang w:eastAsia="en-US"/>
        </w:rPr>
        <w:t xml:space="preserve"> Кодекса.</w:t>
      </w:r>
    </w:p>
    <w:p>
      <w:pPr>
        <w:pStyle w:val="ListParagraph"/>
        <w:ind w:left="0" w:firstLine="709"/>
        <w:jc w:val="both"/>
        <w:rPr>
          <w:rFonts w:eastAsia="Calibri" w:eastAsiaTheme="minorHAnsi"/>
          <w:lang w:eastAsia="en-US"/>
        </w:rPr>
      </w:pPr>
      <w:r>
        <w:rPr>
          <w:rFonts w:eastAsia="Calibri" w:eastAsiaTheme="minorHAnsi"/>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 (документ предоставляется в рамках межведомственного и межуровневого взаимодействия).</w:t>
      </w:r>
    </w:p>
    <w:p>
      <w:pPr>
        <w:pStyle w:val="ListParagraph"/>
        <w:ind w:left="0" w:firstLine="709"/>
        <w:jc w:val="both"/>
        <w:rPr>
          <w:rFonts w:eastAsia="Calibri" w:eastAsiaTheme="minorHAnsi"/>
          <w:lang w:eastAsia="en-US"/>
        </w:rPr>
      </w:pPr>
      <w:r>
        <w:rPr>
          <w:rFonts w:eastAsia="Calibri" w:eastAsiaTheme="minorHAnsi"/>
          <w:lang w:eastAsia="en-US"/>
        </w:rPr>
        <w:t>6. Согласие всех правообладателей объекта капитального строительства в случае реконструкции такого объекта, за исключением указанных в пп. 6.2. настоящего пункта случаев реконструкции многоквартирного дома (документ предоставляется заявителем лично);</w:t>
      </w:r>
    </w:p>
    <w:p>
      <w:pPr>
        <w:pStyle w:val="ListParagraph"/>
        <w:ind w:left="0" w:firstLine="709"/>
        <w:jc w:val="both"/>
        <w:rPr>
          <w:rFonts w:eastAsia="Calibri" w:eastAsiaTheme="minorHAnsi"/>
          <w:lang w:eastAsia="en-US"/>
        </w:rPr>
      </w:pPr>
      <w:r>
        <w:rPr>
          <w:rFonts w:eastAsia="Calibri" w:eastAsiaTheme="minorHAnsi"/>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ListParagraph"/>
        <w:ind w:left="0" w:firstLine="709"/>
        <w:jc w:val="both"/>
        <w:rPr>
          <w:rFonts w:eastAsia="Calibri" w:eastAsiaTheme="minorHAnsi"/>
          <w:lang w:eastAsia="en-US"/>
        </w:rPr>
      </w:pPr>
      <w:r>
        <w:rPr>
          <w:rFonts w:eastAsia="Calibri" w:eastAsiaTheme="minorHAnsi"/>
          <w:lang w:eastAsia="en-US"/>
        </w:rPr>
        <w:t>6.2. решение общего собрания собственников помещений</w:t>
      </w:r>
      <w:r>
        <w:rPr/>
        <w:t xml:space="preserve"> </w:t>
      </w:r>
      <w:r>
        <w:rPr>
          <w:rFonts w:eastAsia="Calibri" w:eastAsiaTheme="minorHAnsi"/>
          <w:lang w:eastAsia="en-US"/>
        </w:rPr>
        <w:t>и машинно-мест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машинно-мест в многоквартирном доме.</w:t>
      </w:r>
    </w:p>
    <w:p>
      <w:pPr>
        <w:pStyle w:val="ListParagraph"/>
        <w:ind w:left="0" w:firstLine="709"/>
        <w:jc w:val="both"/>
        <w:rPr>
          <w:rFonts w:eastAsia="Calibri" w:eastAsiaTheme="minorHAnsi"/>
          <w:lang w:eastAsia="en-US"/>
        </w:rPr>
      </w:pPr>
      <w:r>
        <w:rPr>
          <w:rFonts w:eastAsia="Calibri" w:eastAsiaTheme="minorHAnsi"/>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(документ предоставляется заявителем лично).</w:t>
      </w:r>
    </w:p>
    <w:p>
      <w:pPr>
        <w:pStyle w:val="ListParagraph"/>
        <w:ind w:left="0" w:firstLine="709"/>
        <w:jc w:val="both"/>
        <w:rPr>
          <w:rFonts w:eastAsia="Calibri" w:eastAsiaTheme="minorHAnsi"/>
          <w:lang w:eastAsia="en-US"/>
        </w:rPr>
      </w:pPr>
      <w:r>
        <w:rPr>
          <w:rFonts w:eastAsia="Calibri" w:eastAsiaTheme="minorHAnsi"/>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ind w:firstLine="709"/>
        <w:jc w:val="both"/>
        <w:rPr/>
      </w:pPr>
      <w:r>
        <w:rPr>
          <w:rFonts w:eastAsia="Calibri" w:eastAsiaTheme="minorHAnsi"/>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
        <w:r>
          <w:rPr>
            <w:rStyle w:val="ListLabel3"/>
            <w:rFonts w:eastAsia="Calibri" w:eastAsiaTheme="minorHAnsi"/>
            <w:color w:val="0000FF"/>
            <w:lang w:eastAsia="en-US"/>
          </w:rPr>
          <w:t>законодательством</w:t>
        </w:r>
      </w:hyperlink>
      <w:r>
        <w:rPr>
          <w:rFonts w:eastAsia="Calibri" w:eastAsiaTheme="minorHAns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Normal"/>
        <w:ind w:firstLine="70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pPr>
        <w:pStyle w:val="ListParagraph"/>
        <w:numPr>
          <w:ilvl w:val="1"/>
          <w:numId w:val="1"/>
        </w:numPr>
        <w:jc w:val="both"/>
        <w:rPr/>
      </w:pPr>
      <w:r>
        <w:rPr/>
        <w:t xml:space="preserve"> </w:t>
      </w:r>
      <w:r>
        <w:rPr/>
        <w:t>Пункт 2.6.1. изложить в следующей редакции:</w:t>
      </w:r>
    </w:p>
    <w:p>
      <w:pPr>
        <w:pStyle w:val="Normal"/>
        <w:ind w:firstLine="709"/>
        <w:jc w:val="both"/>
        <w:rPr/>
      </w:pPr>
      <w:r>
        <w:rPr/>
        <w:t>«2.6.1. Особенности взаимодействия с заявителем при предоставлении муниципальной услуги</w:t>
      </w:r>
    </w:p>
    <w:p>
      <w:pPr>
        <w:pStyle w:val="ListParagraph"/>
        <w:numPr>
          <w:ilvl w:val="0"/>
          <w:numId w:val="2"/>
        </w:numPr>
        <w:ind w:left="0" w:firstLine="567"/>
        <w:jc w:val="both"/>
        <w:rPr/>
      </w:pPr>
      <w:r>
        <w:rPr/>
        <w:t>При подаче заявления с документами на предоставление муниципальной услуги в МФЦ, администрацию, а также в процессе предоставления муниципальной услуги, запрещается требовать от заявителя:</w:t>
      </w:r>
    </w:p>
    <w:p>
      <w:pPr>
        <w:pStyle w:val="Normal"/>
        <w:ind w:firstLine="709"/>
        <w:jc w:val="both"/>
        <w:rPr/>
      </w:pPr>
      <w:r>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pPr>
      <w:r>
        <w:rPr/>
        <w:t xml:space="preserve">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pPr>
        <w:pStyle w:val="ListParagraph"/>
        <w:numPr>
          <w:ilvl w:val="0"/>
          <w:numId w:val="2"/>
        </w:numPr>
        <w:ind w:left="0" w:firstLine="709"/>
        <w:jc w:val="both"/>
        <w:rPr/>
      </w:pPr>
      <w:r>
        <w:rPr>
          <w:rFonts w:eastAsia="Calibri" w:eastAsiaTheme="minorHAnsi"/>
          <w:lang w:eastAsia="en-US"/>
        </w:rPr>
        <w:t>Документы (их копии или сведения, содержащиеся в них), указанные в под</w:t>
      </w:r>
      <w:hyperlink r:id="rId7">
        <w:r>
          <w:rPr>
            <w:rStyle w:val="ListLabel3"/>
            <w:rFonts w:eastAsia="Calibri" w:eastAsiaTheme="minorHAnsi"/>
            <w:color w:val="0000FF"/>
            <w:lang w:eastAsia="en-US"/>
          </w:rPr>
          <w:t>пунктах 1</w:t>
        </w:r>
      </w:hyperlink>
      <w:r>
        <w:rPr>
          <w:rFonts w:eastAsia="Calibri" w:eastAsiaTheme="minorHAnsi"/>
          <w:lang w:eastAsia="en-US"/>
        </w:rPr>
        <w:t xml:space="preserve"> - </w:t>
      </w:r>
      <w:hyperlink r:id="rId8">
        <w:r>
          <w:rPr>
            <w:rStyle w:val="ListLabel3"/>
            <w:rFonts w:eastAsia="Calibri" w:eastAsiaTheme="minorHAnsi"/>
            <w:color w:val="0000FF"/>
            <w:lang w:eastAsia="en-US"/>
          </w:rPr>
          <w:t>5</w:t>
        </w:r>
      </w:hyperlink>
      <w:r>
        <w:rPr>
          <w:rFonts w:eastAsia="Calibri" w:eastAsiaTheme="minorHAnsi"/>
          <w:lang w:eastAsia="en-US"/>
        </w:rPr>
        <w:t xml:space="preserve">, </w:t>
      </w:r>
      <w:hyperlink r:id="rId9">
        <w:r>
          <w:rPr>
            <w:rStyle w:val="ListLabel3"/>
            <w:rFonts w:eastAsia="Calibri" w:eastAsiaTheme="minorHAnsi"/>
            <w:color w:val="0000FF"/>
            <w:lang w:eastAsia="en-US"/>
          </w:rPr>
          <w:t>7</w:t>
        </w:r>
      </w:hyperlink>
      <w:r>
        <w:rPr>
          <w:rFonts w:eastAsia="Calibri" w:eastAsiaTheme="minorHAnsi"/>
          <w:lang w:eastAsia="en-US"/>
        </w:rPr>
        <w:t xml:space="preserve">, </w:t>
      </w:r>
      <w:hyperlink r:id="rId10">
        <w:r>
          <w:rPr>
            <w:rStyle w:val="ListLabel3"/>
            <w:rFonts w:eastAsia="Calibri" w:eastAsiaTheme="minorHAnsi"/>
            <w:color w:val="0000FF"/>
            <w:lang w:eastAsia="en-US"/>
          </w:rPr>
          <w:t>9</w:t>
        </w:r>
      </w:hyperlink>
      <w:r>
        <w:rPr>
          <w:rFonts w:eastAsia="Calibri" w:eastAsiaTheme="minorHAnsi"/>
          <w:lang w:eastAsia="en-US"/>
        </w:rPr>
        <w:t xml:space="preserve"> и </w:t>
      </w:r>
      <w:r>
        <w:rPr>
          <w:rFonts w:eastAsia="Calibri" w:eastAsiaTheme="minorHAnsi"/>
          <w:color w:val="0000FF"/>
          <w:lang w:eastAsia="en-US"/>
        </w:rPr>
        <w:t>10 пункта</w:t>
      </w:r>
      <w:r>
        <w:rPr>
          <w:rFonts w:eastAsia="Calibri" w:eastAsiaTheme="minorHAnsi"/>
          <w:lang w:eastAsia="en-US"/>
        </w:rPr>
        <w:t xml:space="preserve"> 2.6., запрашиваются органами, указанными в </w:t>
      </w:r>
      <w:hyperlink r:id="rId11">
        <w:r>
          <w:rPr>
            <w:rStyle w:val="ListLabel3"/>
            <w:rFonts w:eastAsia="Calibri" w:eastAsiaTheme="minorHAnsi"/>
            <w:color w:val="0000FF"/>
            <w:lang w:eastAsia="en-US"/>
          </w:rPr>
          <w:t>абзаце втором пункта</w:t>
        </w:r>
      </w:hyperlink>
      <w:r>
        <w:rPr>
          <w:rFonts w:eastAsia="Calibri" w:eastAsiaTheme="minorHAnsi"/>
          <w:lang w:eastAsia="en-US"/>
        </w:rPr>
        <w:t xml:space="preserve"> 2.2.,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pPr>
        <w:pStyle w:val="ListParagraph"/>
        <w:numPr>
          <w:ilvl w:val="0"/>
          <w:numId w:val="2"/>
        </w:numPr>
        <w:ind w:left="0" w:firstLine="709"/>
        <w:jc w:val="both"/>
        <w:rPr/>
      </w:pPr>
      <w:r>
        <w:rPr>
          <w:rFonts w:eastAsia="Calibri" w:eastAsiaTheme="minorHAnsi"/>
          <w:lang w:eastAsia="en-US"/>
        </w:rPr>
        <w:t xml:space="preserve">Документы, указанные в подпунктах 1, </w:t>
      </w:r>
      <w:hyperlink r:id="rId12">
        <w:r>
          <w:rPr>
            <w:rStyle w:val="ListLabel3"/>
            <w:rFonts w:eastAsia="Calibri" w:eastAsiaTheme="minorHAnsi"/>
            <w:color w:val="0000FF"/>
            <w:lang w:eastAsia="en-US"/>
          </w:rPr>
          <w:t>3</w:t>
        </w:r>
      </w:hyperlink>
      <w:r>
        <w:rPr>
          <w:rFonts w:eastAsia="Calibri" w:eastAsiaTheme="minorHAnsi"/>
          <w:lang w:eastAsia="en-US"/>
        </w:rPr>
        <w:t xml:space="preserve"> и </w:t>
      </w:r>
      <w:hyperlink r:id="rId13">
        <w:r>
          <w:rPr>
            <w:rStyle w:val="ListLabel3"/>
            <w:rFonts w:eastAsia="Calibri" w:eastAsiaTheme="minorHAnsi"/>
            <w:color w:val="0000FF"/>
            <w:lang w:eastAsia="en-US"/>
          </w:rPr>
          <w:t xml:space="preserve">4 </w:t>
        </w:r>
      </w:hyperlink>
      <w:r>
        <w:rPr>
          <w:rFonts w:eastAsia="Calibri" w:eastAsiaTheme="minorHAnsi"/>
          <w:color w:val="0000FF"/>
          <w:lang w:eastAsia="en-US"/>
        </w:rPr>
        <w:t>пункта</w:t>
      </w:r>
      <w:r>
        <w:rPr>
          <w:rFonts w:eastAsia="Calibri" w:eastAsiaTheme="minorHAnsi"/>
          <w:lang w:eastAsia="en-US"/>
        </w:rPr>
        <w:t xml:space="preserve">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ListParagraph"/>
        <w:numPr>
          <w:ilvl w:val="0"/>
          <w:numId w:val="2"/>
        </w:numPr>
        <w:ind w:left="0" w:firstLine="709"/>
        <w:jc w:val="both"/>
        <w:rPr>
          <w:rFonts w:eastAsia="Calibri" w:eastAsiaTheme="minorHAnsi"/>
          <w:lang w:eastAsia="en-US"/>
        </w:rPr>
      </w:pPr>
      <w:r>
        <w:rPr>
          <w:rFonts w:eastAsia="Calibri" w:eastAsiaTheme="minorHAnsi"/>
          <w:lang w:eastAsia="en-US"/>
        </w:rPr>
        <w:t xml:space="preserve">Документы, предусмотренные в </w:t>
      </w:r>
      <w:r>
        <w:rPr>
          <w:rFonts w:eastAsia="Calibri" w:eastAsiaTheme="minorHAnsi"/>
          <w:color w:val="0000FF"/>
          <w:lang w:eastAsia="en-US"/>
        </w:rPr>
        <w:t>пункте</w:t>
      </w:r>
      <w:r>
        <w:rPr>
          <w:rFonts w:eastAsia="Calibri" w:eastAsiaTheme="minorHAnsi"/>
          <w:lang w:eastAsia="en-US"/>
        </w:rPr>
        <w:t xml:space="preserve"> 2.6., могут быть направлены в электронной форме.»;</w:t>
      </w:r>
    </w:p>
    <w:p>
      <w:pPr>
        <w:pStyle w:val="ListParagraph"/>
        <w:numPr>
          <w:ilvl w:val="1"/>
          <w:numId w:val="1"/>
        </w:numPr>
        <w:ind w:left="0" w:firstLine="567"/>
        <w:jc w:val="both"/>
        <w:rPr>
          <w:rFonts w:eastAsia="Calibri" w:eastAsiaTheme="minorHAnsi"/>
          <w:lang w:eastAsia="en-US"/>
        </w:rPr>
      </w:pPr>
      <w:r>
        <w:rPr>
          <w:rFonts w:eastAsia="Calibri" w:eastAsiaTheme="minorHAnsi"/>
          <w:lang w:eastAsia="en-US"/>
        </w:rPr>
        <w:t>В пункте 3.1.3. абзац первый дополнить предложением следующего содержания: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pPr>
        <w:pStyle w:val="ListParagraph"/>
        <w:numPr>
          <w:ilvl w:val="1"/>
          <w:numId w:val="1"/>
        </w:numPr>
        <w:ind w:left="0" w:firstLine="709"/>
        <w:jc w:val="both"/>
        <w:rPr>
          <w:rFonts w:eastAsia="Calibri" w:eastAsiaTheme="minorHAnsi"/>
          <w:lang w:eastAsia="en-US"/>
        </w:rPr>
      </w:pPr>
      <w:r>
        <w:rPr>
          <w:rFonts w:eastAsia="Calibri" w:eastAsiaTheme="minorHAnsi"/>
          <w:lang w:eastAsia="en-US"/>
        </w:rPr>
        <w:t>пункт 3.1.5. изложить в следующей редакции:</w:t>
      </w:r>
    </w:p>
    <w:p>
      <w:pPr>
        <w:pStyle w:val="ListParagraph"/>
        <w:ind w:left="0" w:firstLine="709"/>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«3.1.5. Исправление технических ошибок и внесение изменений в разрешение</w:t>
      </w:r>
    </w:p>
    <w:p>
      <w:pPr>
        <w:pStyle w:val="ListParagraph"/>
        <w:numPr>
          <w:ilvl w:val="0"/>
          <w:numId w:val="3"/>
        </w:numPr>
        <w:ind w:left="0" w:firstLine="851"/>
        <w:jc w:val="both"/>
        <w:rPr>
          <w:rFonts w:eastAsia="Calibri" w:eastAsiaTheme="minorHAnsi"/>
          <w:lang w:eastAsia="en-US"/>
        </w:rPr>
      </w:pPr>
      <w:r>
        <w:rPr>
          <w:rFonts w:eastAsia="Calibri" w:eastAsiaTheme="minorHAnsi"/>
          <w:lang w:eastAsia="en-US"/>
        </w:rPr>
        <w:t>Основанием является допущение технических ошибок в разрешении. Исправление технических ошибок, допущенных при подготовке разрешения, осуществляется в случае, если нет оснований полагать, что такое исправление может причинить ущерб либо нарушить законные права заявителя (застройщика).</w:t>
      </w:r>
    </w:p>
    <w:p>
      <w:pPr>
        <w:pStyle w:val="ListParagraph"/>
        <w:numPr>
          <w:ilvl w:val="0"/>
          <w:numId w:val="3"/>
        </w:numPr>
        <w:ind w:left="0" w:firstLine="851"/>
        <w:jc w:val="both"/>
        <w:rPr>
          <w:rFonts w:eastAsia="Calibri" w:eastAsiaTheme="minorHAnsi"/>
          <w:lang w:eastAsia="en-US"/>
        </w:rPr>
      </w:pPr>
      <w:r>
        <w:rPr>
          <w:rFonts w:eastAsia="Calibri" w:eastAsiaTheme="minorHAnsi"/>
          <w:lang w:eastAsia="en-US"/>
        </w:rPr>
        <w:t>В случае обнаружения технической ошибки в Разрешении заявитель (застройщик) письменно обращается в администрацию либо в МФЦ с просьбой об устранении технических ошибок на своем экземпляре разрешения.</w:t>
      </w:r>
    </w:p>
    <w:p>
      <w:pPr>
        <w:pStyle w:val="ListParagraph"/>
        <w:numPr>
          <w:ilvl w:val="0"/>
          <w:numId w:val="3"/>
        </w:numPr>
        <w:ind w:left="0" w:firstLine="851"/>
        <w:jc w:val="both"/>
        <w:rPr>
          <w:rFonts w:eastAsia="Calibri" w:eastAsiaTheme="minorHAnsi"/>
          <w:lang w:eastAsia="en-US"/>
        </w:rPr>
      </w:pPr>
      <w:r>
        <w:rPr>
          <w:rFonts w:eastAsia="Calibri" w:eastAsiaTheme="minorHAnsi"/>
          <w:lang w:eastAsia="en-US"/>
        </w:rPr>
        <w:t xml:space="preserve">В срок не более чем семь рабочих дней со дня получения уведомления, указанного в абз. 7 п. 3.1.4.1., специалисты </w:t>
      </w:r>
      <w:r>
        <w:rPr/>
        <w:t xml:space="preserve">администрации </w:t>
      </w:r>
      <w:r>
        <w:rPr>
          <w:rFonts w:eastAsia="Calibri" w:eastAsiaTheme="minorHAnsi"/>
          <w:lang w:eastAsia="en-US"/>
        </w:rPr>
        <w:t>Нижнекумашкинского сельского поселения принимают решение о внесении изменений в разрешение на строительство.</w:t>
      </w:r>
    </w:p>
    <w:p>
      <w:pPr>
        <w:pStyle w:val="ListParagraph"/>
        <w:numPr>
          <w:ilvl w:val="0"/>
          <w:numId w:val="3"/>
        </w:numPr>
        <w:ind w:left="0" w:firstLine="851"/>
        <w:jc w:val="both"/>
        <w:rPr>
          <w:rFonts w:eastAsia="Calibri" w:eastAsiaTheme="minorHAnsi"/>
          <w:lang w:eastAsia="en-US"/>
        </w:rPr>
      </w:pPr>
      <w:r>
        <w:rPr>
          <w:rFonts w:eastAsia="Calibri" w:eastAsiaTheme="minorHAnsi"/>
          <w:lang w:eastAsia="en-US"/>
        </w:rPr>
        <w:t>Основанием для отказа во внесении изменений в разрешение на строительство является:</w:t>
      </w:r>
    </w:p>
    <w:p>
      <w:pPr>
        <w:pStyle w:val="ListParagraph"/>
        <w:ind w:left="0" w:firstLine="709"/>
        <w:jc w:val="both"/>
        <w:rPr>
          <w:rFonts w:eastAsia="Calibri" w:eastAsiaTheme="minorHAnsi"/>
          <w:lang w:eastAsia="en-US"/>
        </w:rPr>
      </w:pPr>
      <w:r>
        <w:rPr>
          <w:rFonts w:eastAsia="Calibri" w:eastAsiaTheme="minorHAnsi"/>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8 - 11 пункта 3.1.4.1., или отсутствие правоустанавливающего документа на земельный участок в случае, указанном в абзаце четырнадцатом пункта 3.1.4.1., либо отсутствие документов, предусмотренных в </w:t>
      </w:r>
      <w:r>
        <w:rPr>
          <w:rFonts w:eastAsia="Calibri" w:eastAsiaTheme="minorHAnsi"/>
          <w:color w:val="0000FF"/>
          <w:lang w:eastAsia="en-US"/>
        </w:rPr>
        <w:t>пункте</w:t>
      </w:r>
      <w:r>
        <w:rPr>
          <w:rFonts w:eastAsia="Calibri" w:eastAsiaTheme="minorHAnsi"/>
          <w:lang w:eastAsia="en-US"/>
        </w:rPr>
        <w:t xml:space="preserve"> 2.6.,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ListParagraph"/>
        <w:ind w:left="0" w:firstLine="709"/>
        <w:jc w:val="both"/>
        <w:rPr>
          <w:rFonts w:eastAsia="Calibri" w:eastAsiaTheme="minorHAnsi"/>
          <w:lang w:eastAsia="en-US"/>
        </w:rPr>
      </w:pPr>
      <w:r>
        <w:rPr>
          <w:rFonts w:eastAsia="Calibri" w:eastAsiaTheme="minorHAnsi"/>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ListParagraph"/>
        <w:ind w:left="0" w:firstLine="709"/>
        <w:jc w:val="both"/>
        <w:rPr/>
      </w:pPr>
      <w:r>
        <w:rPr>
          <w:rFonts w:eastAsia="Calibri" w:eastAsiaTheme="minorHAnsi"/>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Pr/>
        <w:t xml:space="preserve">абзацем </w:t>
      </w:r>
      <w:hyperlink w:anchor="P414">
        <w:r>
          <w:rPr>
            <w:rStyle w:val="ListLabel4"/>
            <w:color w:val="0000FF"/>
          </w:rPr>
          <w:t>четвертом пункта 3.1.4.1</w:t>
        </w:r>
      </w:hyperlink>
      <w:r>
        <w:rPr>
          <w:rFonts w:eastAsia="Calibri" w:eastAsiaTheme="minorHAnsi"/>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414">
        <w:r>
          <w:rPr>
            <w:rStyle w:val="ListLabel4"/>
            <w:color w:val="0000FF"/>
          </w:rPr>
          <w:t>абзаце седьмом пункта 3.1.4.1</w:t>
        </w:r>
      </w:hyperlink>
      <w:r>
        <w:rPr>
          <w:rFonts w:eastAsia="Calibri" w:eastAsiaTheme="minorHAnsi"/>
          <w:lang w:eastAsia="en-US"/>
        </w:rPr>
        <w:t>.;</w:t>
      </w:r>
    </w:p>
    <w:p>
      <w:pPr>
        <w:pStyle w:val="Normal"/>
        <w:ind w:firstLine="540"/>
        <w:jc w:val="both"/>
        <w:rPr>
          <w:rFonts w:eastAsia="Calibri" w:eastAsiaTheme="minorHAnsi"/>
          <w:lang w:eastAsia="en-US"/>
        </w:rPr>
      </w:pPr>
      <w:r>
        <w:rPr>
          <w:rFonts w:eastAsia="Calibri" w:eastAsiaTheme="minorHAnsi"/>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Normal"/>
        <w:ind w:firstLine="540"/>
        <w:jc w:val="both"/>
        <w:rPr/>
      </w:pPr>
      <w:r>
        <w:rPr>
          <w:rFonts w:eastAsia="Calibri" w:eastAsiaTheme="minorHAnsi"/>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Pr/>
        <w:t xml:space="preserve">абзацем </w:t>
      </w:r>
      <w:hyperlink w:anchor="P414">
        <w:r>
          <w:rPr>
            <w:rStyle w:val="ListLabel4"/>
            <w:color w:val="0000FF"/>
          </w:rPr>
          <w:t>четвертом пункта 3.1.4.1</w:t>
        </w:r>
      </w:hyperlink>
      <w:r>
        <w:rPr>
          <w:rFonts w:eastAsia="Calibri" w:eastAsiaTheme="minorHAnsi"/>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Normal"/>
        <w:ind w:firstLine="540"/>
        <w:jc w:val="both"/>
        <w:rPr>
          <w:rFonts w:eastAsia="Calibri" w:eastAsiaTheme="minorHAnsi"/>
          <w:lang w:eastAsia="en-US"/>
        </w:rPr>
      </w:pPr>
      <w:r>
        <w:rPr>
          <w:rFonts w:eastAsia="Calibri" w:eastAsiaTheme="minorHAnsi"/>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Normal"/>
        <w:ind w:firstLine="540"/>
        <w:jc w:val="both"/>
        <w:rPr/>
      </w:pPr>
      <w:r>
        <w:rPr>
          <w:rFonts w:eastAsia="Calibri" w:eastAsiaTheme="minorHAnsi"/>
          <w:lang w:eastAsia="en-US"/>
        </w:rPr>
        <w:t xml:space="preserve">7) наличие у администрации Нижнекумашкинского сельского поселения </w:t>
      </w:r>
      <w:r>
        <w:rPr/>
        <w:t>и</w:t>
      </w:r>
      <w:r>
        <w:rPr>
          <w:rFonts w:eastAsia="Calibri" w:eastAsiaTheme="minorHAnsi"/>
          <w:lang w:eastAsia="en-US"/>
        </w:rPr>
        <w:t xml:space="preserve">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4">
        <w:r>
          <w:rPr>
            <w:rStyle w:val="ListLabel3"/>
            <w:rFonts w:eastAsia="Calibri" w:eastAsiaTheme="minorHAnsi"/>
            <w:color w:val="0000FF"/>
            <w:lang w:eastAsia="en-US"/>
          </w:rPr>
          <w:t>части 5 статьи 52</w:t>
        </w:r>
      </w:hyperlink>
      <w:r>
        <w:rPr>
          <w:rFonts w:eastAsia="Calibri" w:eastAsiaTheme="minorHAnsi"/>
          <w:lang w:eastAsia="en-US"/>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w:t>
      </w:r>
      <w:r>
        <w:rPr/>
        <w:t>администрация о</w:t>
      </w:r>
      <w:r>
        <w:rPr>
          <w:rFonts w:eastAsia="Calibri" w:eastAsiaTheme="minorHAnsi"/>
          <w:lang w:eastAsia="en-US"/>
        </w:rPr>
        <w:t>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ind w:firstLine="540"/>
        <w:jc w:val="both"/>
        <w:rPr>
          <w:rFonts w:eastAsia="Calibri" w:eastAsiaTheme="minorHAnsi"/>
          <w:lang w:eastAsia="en-US"/>
        </w:rPr>
      </w:pPr>
      <w:r>
        <w:rPr>
          <w:rFonts w:eastAsia="Calibri" w:eastAsiaTheme="minorHAnsi"/>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ListParagraph"/>
        <w:numPr>
          <w:ilvl w:val="0"/>
          <w:numId w:val="3"/>
        </w:numPr>
        <w:ind w:left="0" w:firstLine="709"/>
        <w:jc w:val="both"/>
        <w:rPr>
          <w:rFonts w:eastAsia="Calibri" w:eastAsiaTheme="minorHAnsi"/>
          <w:lang w:eastAsia="en-US"/>
        </w:rPr>
      </w:pPr>
      <w:r>
        <w:rPr>
          <w:rFonts w:eastAsia="Calibri" w:eastAsiaTheme="minorHAnsi"/>
          <w:lang w:eastAsia="en-US"/>
        </w:rPr>
        <w:t>Результатом является устранение допущенных ошибок в разрешении на строительство.».</w:t>
      </w:r>
    </w:p>
    <w:p>
      <w:pPr>
        <w:pStyle w:val="ConsPlusNonformat"/>
        <w:ind w:firstLine="426"/>
        <w:jc w:val="both"/>
        <w:rPr>
          <w:rFonts w:ascii="Times New Roman" w:hAnsi="Times New Roman" w:cs="Times New Roman"/>
          <w:sz w:val="24"/>
          <w:szCs w:val="24"/>
        </w:rPr>
      </w:pPr>
      <w:r>
        <w:rPr>
          <w:rFonts w:cs="Times New Roman" w:ascii="Times New Roman" w:hAnsi="Times New Roman"/>
          <w:sz w:val="24"/>
          <w:szCs w:val="24"/>
        </w:rPr>
        <w:t>2. Настоящее постановление вступает в силу после его официального опубликования в печатном издании «Вестник Нижнекумашкинского сельского поселения Шумерлинского района».</w:t>
      </w:r>
    </w:p>
    <w:p>
      <w:pPr>
        <w:pStyle w:val="ListParagraph"/>
        <w:ind w:left="927" w:hanging="0"/>
        <w:jc w:val="both"/>
        <w:rPr>
          <w:rFonts w:eastAsia="Calibri" w:eastAsiaTheme="minorHAnsi"/>
          <w:lang w:eastAsia="en-US"/>
        </w:rPr>
      </w:pPr>
      <w:r>
        <w:rPr>
          <w:rFonts w:eastAsia="Calibri" w:eastAsiaTheme="minorHAnsi"/>
          <w:lang w:eastAsia="en-US"/>
        </w:rPr>
      </w:r>
    </w:p>
    <w:p>
      <w:pPr>
        <w:pStyle w:val="ListParagraph"/>
        <w:ind w:left="927" w:hanging="0"/>
        <w:jc w:val="both"/>
        <w:rPr>
          <w:rFonts w:eastAsia="Calibri" w:eastAsiaTheme="minorHAnsi"/>
          <w:lang w:eastAsia="en-US"/>
        </w:rPr>
      </w:pPr>
      <w:r>
        <w:rPr>
          <w:rFonts w:eastAsia="Calibri" w:eastAsiaTheme="minorHAnsi"/>
          <w:lang w:eastAsia="en-US"/>
        </w:rPr>
      </w:r>
    </w:p>
    <w:p>
      <w:pPr>
        <w:pStyle w:val="Normal"/>
        <w:tabs>
          <w:tab w:val="left" w:pos="2198" w:leader="none"/>
        </w:tabs>
        <w:ind w:left="540" w:hanging="540"/>
        <w:jc w:val="both"/>
        <w:rPr/>
      </w:pPr>
      <w:r>
        <w:rPr/>
        <w:t xml:space="preserve">Глава Нижнекумашкинского сельского поселения </w:t>
        <w:tab/>
        <w:tab/>
        <w:tab/>
        <w:tab/>
        <w:t>Губанова В.В.</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PT Sans">
    <w:charset w:val="01"/>
    <w:family w:val="swiss"/>
    <w:pitch w:val="default"/>
  </w:font>
  <w:font w:name="Courier New">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rPr>
        <w:rFonts w:eastAsia="Times New Roman"/>
      </w:rPr>
    </w:lvl>
    <w:lvl w:ilvl="1">
      <w:start w:val="1"/>
      <w:numFmt w:val="decimal"/>
      <w:lvlText w:val="%1.%2."/>
      <w:lvlJc w:val="left"/>
      <w:pPr>
        <w:ind w:left="928"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71b5"/>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Цветовое выделение"/>
    <w:qFormat/>
    <w:rsid w:val="004971b5"/>
    <w:rPr>
      <w:b/>
      <w:bCs/>
      <w:color w:val="000080"/>
    </w:rPr>
  </w:style>
  <w:style w:type="character" w:styleId="Style15" w:customStyle="1">
    <w:name w:val="Текст выноски Знак"/>
    <w:basedOn w:val="DefaultParagraphFont"/>
    <w:link w:val="a6"/>
    <w:uiPriority w:val="99"/>
    <w:semiHidden/>
    <w:qFormat/>
    <w:rsid w:val="00734bf6"/>
    <w:rPr>
      <w:rFonts w:ascii="Tahoma" w:hAnsi="Tahoma" w:eastAsia="Times New Roman" w:cs="Tahoma"/>
      <w:sz w:val="16"/>
      <w:szCs w:val="16"/>
      <w:lang w:eastAsia="ru-RU"/>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Calibri" w:eastAsiaTheme="minorHAnsi"/>
      <w:color w:val="0000FF"/>
      <w:lang w:eastAsia="en-US"/>
    </w:rPr>
  </w:style>
  <w:style w:type="character" w:styleId="Style16">
    <w:name w:val="Интернет-ссылка"/>
    <w:rPr>
      <w:color w:val="000080"/>
      <w:u w:val="single"/>
      <w:lang w:val="zxx" w:eastAsia="zxx" w:bidi="zxx"/>
    </w:rPr>
  </w:style>
  <w:style w:type="character" w:styleId="ListLabel4">
    <w:name w:val="ListLabel 4"/>
    <w:qFormat/>
    <w:rPr>
      <w:color w:val="0000FF"/>
    </w:rPr>
  </w:style>
  <w:style w:type="character" w:styleId="ListLabel5">
    <w:name w:val="ListLabel 5"/>
    <w:qFormat/>
    <w:rPr>
      <w:rFonts w:eastAsia="Times New Roman"/>
    </w:rPr>
  </w:style>
  <w:style w:type="character" w:styleId="ListLabel6">
    <w:name w:val="ListLabel 6"/>
    <w:qFormat/>
    <w:rPr>
      <w:rFonts w:eastAsia="Calibri" w:eastAsiaTheme="minorHAnsi"/>
      <w:color w:val="0000FF"/>
      <w:lang w:eastAsia="en-US"/>
    </w:rPr>
  </w:style>
  <w:style w:type="character" w:styleId="ListLabel7">
    <w:name w:val="ListLabel 7"/>
    <w:qFormat/>
    <w:rPr>
      <w:color w:val="0000FF"/>
    </w:rPr>
  </w:style>
  <w:style w:type="character" w:styleId="ListLabel8">
    <w:name w:val="ListLabel 8"/>
    <w:qFormat/>
    <w:rPr>
      <w:rFonts w:eastAsia="Times New Roman"/>
    </w:rPr>
  </w:style>
  <w:style w:type="character" w:styleId="ListLabel9">
    <w:name w:val="ListLabel 9"/>
    <w:qFormat/>
    <w:rPr>
      <w:rFonts w:eastAsia="Calibri" w:eastAsiaTheme="minorHAnsi"/>
      <w:color w:val="0000FF"/>
      <w:lang w:eastAsia="en-US"/>
    </w:rPr>
  </w:style>
  <w:style w:type="character" w:styleId="ListLabel10">
    <w:name w:val="ListLabel 10"/>
    <w:qFormat/>
    <w:rPr>
      <w:color w:val="0000FF"/>
    </w:rPr>
  </w:style>
  <w:style w:type="paragraph" w:styleId="Style17">
    <w:name w:val="Заголовок"/>
    <w:basedOn w:val="Normal"/>
    <w:next w:val="Style18"/>
    <w:qFormat/>
    <w:pPr>
      <w:keepNext w:val="true"/>
      <w:spacing w:before="240" w:after="120"/>
    </w:pPr>
    <w:rPr>
      <w:rFonts w:ascii="PT Sans" w:hAnsi="PT Sans"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Sans" w:hAnsi="PT Sans" w:cs="Noto Sans Devanagari"/>
    </w:rPr>
  </w:style>
  <w:style w:type="paragraph" w:styleId="Style20">
    <w:name w:val="Caption"/>
    <w:basedOn w:val="Normal"/>
    <w:qFormat/>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Style22" w:customStyle="1">
    <w:name w:val="Таблицы (моноширинный)"/>
    <w:basedOn w:val="Normal"/>
    <w:qFormat/>
    <w:rsid w:val="004971b5"/>
    <w:pPr>
      <w:jc w:val="both"/>
    </w:pPr>
    <w:rPr>
      <w:rFonts w:ascii="Courier New" w:hAnsi="Courier New" w:cs="Courier New"/>
      <w:sz w:val="20"/>
      <w:szCs w:val="20"/>
    </w:rPr>
  </w:style>
  <w:style w:type="paragraph" w:styleId="ListParagraph">
    <w:name w:val="List Paragraph"/>
    <w:basedOn w:val="Normal"/>
    <w:uiPriority w:val="34"/>
    <w:qFormat/>
    <w:rsid w:val="004971b5"/>
    <w:pPr>
      <w:spacing w:before="0" w:after="0"/>
      <w:ind w:left="720" w:hanging="0"/>
      <w:contextualSpacing/>
    </w:pPr>
    <w:rPr/>
  </w:style>
  <w:style w:type="paragraph" w:styleId="ConsPlusNonformat" w:customStyle="1">
    <w:name w:val="ConsPlusNonformat"/>
    <w:qFormat/>
    <w:rsid w:val="004c30b7"/>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BalloonText">
    <w:name w:val="Balloon Text"/>
    <w:basedOn w:val="Normal"/>
    <w:link w:val="a7"/>
    <w:uiPriority w:val="99"/>
    <w:semiHidden/>
    <w:unhideWhenUsed/>
    <w:qFormat/>
    <w:rsid w:val="00734bf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EAD693B98ADF3C08CE7B64C0B2CF9659FB00AED44007F4B14D2EC5998EE6A97CC84E5CBD88E3C333E2E37BA67qBd9O" TargetMode="External"/><Relationship Id="rId4" Type="http://schemas.openxmlformats.org/officeDocument/2006/relationships/hyperlink" Target="consultantplus://offline/ref=18B54D9B6C5C6AF94A3A9027764EAD81E1BD8661DC5D93ACB5A40A906B03B8BD71EBBFF3AD679E530CB5360FEECBD0444E6094925A71K4Z1F" TargetMode="External"/><Relationship Id="rId5" Type="http://schemas.openxmlformats.org/officeDocument/2006/relationships/hyperlink" Target="consultantplus://offline/ref=18B54D9B6C5C6AF94A3A9027764EAD81E1BD8661DC5D93ACB5A40A906B03B8BD71EBBFF3AD679E530CB5360FEECBD0444E6094925A71K4Z1F" TargetMode="External"/><Relationship Id="rId6" Type="http://schemas.openxmlformats.org/officeDocument/2006/relationships/hyperlink" Target="consultantplus://offline/ref=DBC1C2A5D5ECC656D4D1AE11A40ADB0465D1C69606FF4136A9A1EA94C3ED3B6E8A4AE8327C5546C39C90B4C52761A3CFCF88FE03A978QAq6F" TargetMode="External"/><Relationship Id="rId7" Type="http://schemas.openxmlformats.org/officeDocument/2006/relationships/hyperlink" Target="consultantplus://offline/ref=9B53BDB24FCE2FDA819BC39D929B3A8CA4BA6D937AECBB28188BA88EAB7578BB64404DCCEF44265CFBC4BA5A1513B455B8C6134591D4gDu6F" TargetMode="External"/><Relationship Id="rId8" Type="http://schemas.openxmlformats.org/officeDocument/2006/relationships/hyperlink" Target="consultantplus://offline/ref=9B53BDB24FCE2FDA819BC39D929B3A8CA4BA6D937AECBB28188BA88EAB7578BB64404DCDE8482B03FED1AB021A11AA4BB0D00F4790gDuCF" TargetMode="External"/><Relationship Id="rId9" Type="http://schemas.openxmlformats.org/officeDocument/2006/relationships/hyperlink" Target="consultantplus://offline/ref=9B53BDB24FCE2FDA819BC39D929B3A8CA4BA6D937AECBB28188BA88EAB7578BB64404DCAE94F2B03FED1AB021A11AA4BB0D00F4790gDuCF" TargetMode="External"/><Relationship Id="rId10" Type="http://schemas.openxmlformats.org/officeDocument/2006/relationships/hyperlink" Target="consultantplus://offline/ref=9B53BDB24FCE2FDA819BC39D929B3A8CA4BA6D937AECBB28188BA88EAB7578BB64404DCDEB4F265CFBC4BA5A1513B455B8C6134591D4gDu6F" TargetMode="External"/><Relationship Id="rId11" Type="http://schemas.openxmlformats.org/officeDocument/2006/relationships/hyperlink" Target="consultantplus://offline/ref=9B53BDB24FCE2FDA819BC39D929B3A8CA4BA6D937AECBB28188BA88EAB7578BB64404DCDEB4E2B03FED1AB021A11AA4BB0D00F4790gDuCF" TargetMode="External"/><Relationship Id="rId12" Type="http://schemas.openxmlformats.org/officeDocument/2006/relationships/hyperlink" Target="consultantplus://offline/ref=0B58F6A10B6A8C1A6939CB8E856624438ECDDF4CC021C3DE2CE29A0F9ACBD4981D1EDC4A8E197D2EF3AFB3D80172E6D98F1B8A99D6ACBFG" TargetMode="External"/><Relationship Id="rId13" Type="http://schemas.openxmlformats.org/officeDocument/2006/relationships/hyperlink" Target="consultantplus://offline/ref=0B58F6A10B6A8C1A6939CB8E856624438ECDDF4CC021C3DE2CE29A0F9ACBD4981D1EDC4D8C1E7D2EF3AFB3D80172E6D98F1B8A99D6ACBFG" TargetMode="External"/><Relationship Id="rId14" Type="http://schemas.openxmlformats.org/officeDocument/2006/relationships/hyperlink" Target="consultantplus://offline/ref=7D2173D2BFAF762DC9C81ABE6B51AB7C7407F96C49C84A6BE0FBCB8DD21028DC5EBF0746B2307647494BE4C21DF768D6BFAAB3AABD06k1L3H"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LibreOffice/6.0.5.2$Linux_X86_64 LibreOffice_project/00m0$Build-2</Application>
  <Pages>6</Pages>
  <Words>2363</Words>
  <Characters>17955</Characters>
  <CharactersWithSpaces>20266</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2019-08-28T08:38:00Z</dcterms:created>
  <dc:creator>Мария Краснова</dc:creator>
  <dc:description/>
  <dc:language>ru-RU</dc:language>
  <cp:lastModifiedBy/>
  <dcterms:modified xsi:type="dcterms:W3CDTF">2019-08-28T16:28:18Z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