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0" w:rsidRDefault="00955340" w:rsidP="0095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55340" w:rsidTr="00955340">
        <w:tc>
          <w:tcPr>
            <w:tcW w:w="3934" w:type="dxa"/>
            <w:gridSpan w:val="3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55340" w:rsidTr="0095534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B152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B152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B1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B1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55340" w:rsidTr="00955340">
        <w:tc>
          <w:tcPr>
            <w:tcW w:w="3934" w:type="dxa"/>
            <w:gridSpan w:val="3"/>
            <w:hideMark/>
          </w:tcPr>
          <w:p w:rsidR="00955340" w:rsidRDefault="0095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955340" w:rsidRDefault="00955340" w:rsidP="00955340"/>
    <w:p w:rsidR="009F3527" w:rsidRPr="009F3527" w:rsidRDefault="009F3527" w:rsidP="009F3527">
      <w:pPr>
        <w:pStyle w:val="2"/>
        <w:spacing w:after="0" w:line="240" w:lineRule="auto"/>
        <w:rPr>
          <w:b/>
          <w:bCs/>
        </w:rPr>
      </w:pPr>
      <w:r w:rsidRPr="009F3527">
        <w:rPr>
          <w:b/>
          <w:bCs/>
        </w:rPr>
        <w:t xml:space="preserve">О выборах  главы  Сятракасинского </w:t>
      </w:r>
    </w:p>
    <w:p w:rsidR="009F3527" w:rsidRPr="009F3527" w:rsidRDefault="009F3527" w:rsidP="009F3527">
      <w:pPr>
        <w:pStyle w:val="2"/>
        <w:spacing w:after="0" w:line="240" w:lineRule="auto"/>
        <w:rPr>
          <w:b/>
          <w:bCs/>
        </w:rPr>
      </w:pPr>
      <w:r w:rsidRPr="009F3527">
        <w:rPr>
          <w:b/>
          <w:bCs/>
        </w:rPr>
        <w:t>сельского поселения Моргаушского</w:t>
      </w:r>
    </w:p>
    <w:p w:rsidR="009F3527" w:rsidRPr="009F3527" w:rsidRDefault="009F3527" w:rsidP="009F3527">
      <w:pPr>
        <w:pStyle w:val="2"/>
        <w:spacing w:after="0" w:line="240" w:lineRule="auto"/>
        <w:rPr>
          <w:b/>
          <w:bCs/>
          <w:vertAlign w:val="superscript"/>
        </w:rPr>
      </w:pPr>
      <w:r w:rsidRPr="009F3527">
        <w:rPr>
          <w:b/>
          <w:bCs/>
        </w:rPr>
        <w:t>района Чувашской Республики</w:t>
      </w:r>
    </w:p>
    <w:p w:rsidR="009F3527" w:rsidRPr="009F3527" w:rsidRDefault="009F3527" w:rsidP="009F3527">
      <w:pPr>
        <w:rPr>
          <w:rFonts w:ascii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ab/>
      </w:r>
    </w:p>
    <w:p w:rsidR="009F3527" w:rsidRPr="009F3527" w:rsidRDefault="009F3527" w:rsidP="009F3527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5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Сятракасинского сельского поселения Моргаушского района Чувашской Республики и Порядком проведения конкурса по отбору кандидатур на должность главы Сятракасинского сельского поселения Моргаушского района Чувашской Республики, утвержденным решением Собрания</w:t>
      </w:r>
      <w:proofErr w:type="gramEnd"/>
      <w:r w:rsidRPr="009F3527">
        <w:rPr>
          <w:rFonts w:ascii="Times New Roman" w:hAnsi="Times New Roman" w:cs="Times New Roman"/>
          <w:sz w:val="24"/>
          <w:szCs w:val="24"/>
        </w:rPr>
        <w:t xml:space="preserve"> депутатов  Сятракасинского сельского поселения Моргаушского района Чувашской Республики от  30.09.2015 г </w:t>
      </w:r>
      <w:r w:rsidRPr="009F3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527">
        <w:rPr>
          <w:rFonts w:ascii="Times New Roman" w:hAnsi="Times New Roman" w:cs="Times New Roman"/>
          <w:sz w:val="24"/>
          <w:szCs w:val="24"/>
        </w:rPr>
        <w:t xml:space="preserve">№ С-1/8,  Собрание депутатов Сятракасинского сельского поселения Моргаушского района Чувашской Республики решило: </w:t>
      </w:r>
    </w:p>
    <w:p w:rsidR="009F3527" w:rsidRPr="009F3527" w:rsidRDefault="009F3527" w:rsidP="009F3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pStyle w:val="2"/>
        <w:spacing w:line="240" w:lineRule="auto"/>
        <w:ind w:firstLine="720"/>
        <w:jc w:val="both"/>
      </w:pPr>
      <w:r w:rsidRPr="009F3527">
        <w:t xml:space="preserve">1. Избрать </w:t>
      </w:r>
      <w:r>
        <w:t>Григорьева Евгения Валериановича</w:t>
      </w:r>
      <w:r w:rsidRPr="009F3527">
        <w:t xml:space="preserve"> главой Сятракасинского  сельского поселения Моргаушского района Чувашской Республики на срок полномочий Собрания депутатов Сятракасинского сельского поселения  Моргаушского района Чувашской Республики третьего созыва, но не менее чем на два года.</w:t>
      </w:r>
    </w:p>
    <w:p w:rsidR="009F3527" w:rsidRPr="009F3527" w:rsidRDefault="009F3527" w:rsidP="009F3527">
      <w:pPr>
        <w:pStyle w:val="2"/>
        <w:ind w:firstLine="720"/>
      </w:pPr>
      <w:r w:rsidRPr="009F3527">
        <w:t>2. Настоящее решение подлежит официальному опубликованию.</w:t>
      </w:r>
    </w:p>
    <w:p w:rsidR="009F3527" w:rsidRPr="009F3527" w:rsidRDefault="009F3527" w:rsidP="009F3527">
      <w:pPr>
        <w:pStyle w:val="2"/>
        <w:ind w:firstLine="720"/>
      </w:pPr>
    </w:p>
    <w:p w:rsidR="009F3527" w:rsidRPr="009F3527" w:rsidRDefault="009F3527" w:rsidP="009F3527">
      <w:pPr>
        <w:rPr>
          <w:rFonts w:ascii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Председатель    Собрания    депутатов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Сятракасинского сельского поселения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Н.С.Степанов</w:t>
      </w:r>
    </w:p>
    <w:p w:rsidR="00483612" w:rsidRPr="009F3527" w:rsidRDefault="00483612">
      <w:pPr>
        <w:rPr>
          <w:rFonts w:ascii="Times New Roman" w:hAnsi="Times New Roman" w:cs="Times New Roman"/>
          <w:sz w:val="24"/>
          <w:szCs w:val="24"/>
        </w:rPr>
      </w:pPr>
    </w:p>
    <w:sectPr w:rsidR="00483612" w:rsidRPr="009F3527" w:rsidSect="001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2"/>
    <w:rsid w:val="00132C37"/>
    <w:rsid w:val="00483612"/>
    <w:rsid w:val="004D6A63"/>
    <w:rsid w:val="006B037A"/>
    <w:rsid w:val="00955340"/>
    <w:rsid w:val="009F3527"/>
    <w:rsid w:val="00B15260"/>
    <w:rsid w:val="00D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F3527"/>
    <w:rPr>
      <w:rFonts w:ascii="Arial" w:hAnsi="Arial" w:cs="Arial"/>
      <w:lang w:eastAsia="ru-RU"/>
    </w:rPr>
  </w:style>
  <w:style w:type="paragraph" w:styleId="a6">
    <w:name w:val="header"/>
    <w:basedOn w:val="a"/>
    <w:link w:val="a5"/>
    <w:rsid w:val="009F352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F3527"/>
    <w:rPr>
      <w:rFonts w:eastAsiaTheme="minorEastAsia"/>
      <w:lang w:eastAsia="ru-RU"/>
    </w:rPr>
  </w:style>
  <w:style w:type="paragraph" w:styleId="2">
    <w:name w:val="Body Text 2"/>
    <w:basedOn w:val="a"/>
    <w:link w:val="20"/>
    <w:rsid w:val="009F35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F35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7</cp:revision>
  <cp:lastPrinted>2019-08-02T04:55:00Z</cp:lastPrinted>
  <dcterms:created xsi:type="dcterms:W3CDTF">2019-08-02T04:50:00Z</dcterms:created>
  <dcterms:modified xsi:type="dcterms:W3CDTF">2019-08-02T04:56:00Z</dcterms:modified>
</cp:coreProperties>
</file>