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C72A81" w:rsidTr="002147B0">
        <w:trPr>
          <w:cantSplit/>
          <w:trHeight w:val="420"/>
        </w:trPr>
        <w:tc>
          <w:tcPr>
            <w:tcW w:w="4788" w:type="dxa"/>
          </w:tcPr>
          <w:p w:rsidR="00C72A81" w:rsidRDefault="00C72A81" w:rsidP="002147B0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C72A81" w:rsidRDefault="00C72A81" w:rsidP="002147B0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72A81" w:rsidRDefault="00C72A81" w:rsidP="002147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72A81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C72A81" w:rsidTr="002147B0">
        <w:trPr>
          <w:cantSplit/>
          <w:trHeight w:val="2355"/>
        </w:trPr>
        <w:tc>
          <w:tcPr>
            <w:tcW w:w="4788" w:type="dxa"/>
          </w:tcPr>
          <w:p w:rsidR="00C72A81" w:rsidRPr="00FE14C9" w:rsidRDefault="00C72A81" w:rsidP="002147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2A81" w:rsidRPr="00FE14C9" w:rsidRDefault="00C72A81" w:rsidP="002147B0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C72A81" w:rsidRPr="00FE14C9" w:rsidRDefault="00C72A81" w:rsidP="002147B0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C72A81" w:rsidRPr="00FE14C9" w:rsidRDefault="00C72A81" w:rsidP="002147B0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A81" w:rsidRPr="00FE14C9" w:rsidRDefault="00C72A81" w:rsidP="002147B0">
            <w:pPr>
              <w:rPr>
                <w:sz w:val="24"/>
                <w:szCs w:val="24"/>
              </w:rPr>
            </w:pPr>
          </w:p>
          <w:p w:rsidR="00C72A81" w:rsidRPr="00FE14C9" w:rsidRDefault="00C72A81" w:rsidP="002147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147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C72A81" w:rsidRPr="00FE14C9" w:rsidRDefault="00C72A81" w:rsidP="002147B0">
            <w:pPr>
              <w:rPr>
                <w:sz w:val="24"/>
                <w:szCs w:val="24"/>
              </w:rPr>
            </w:pPr>
          </w:p>
          <w:p w:rsidR="00C72A81" w:rsidRPr="00FE14C9" w:rsidRDefault="00C72A81" w:rsidP="002147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72A81" w:rsidRPr="00FE14C9" w:rsidRDefault="00C72A81" w:rsidP="002147B0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72A81" w:rsidRPr="00FE14C9" w:rsidRDefault="00C72A81" w:rsidP="002147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A81" w:rsidRPr="00FE14C9" w:rsidRDefault="00C72A81" w:rsidP="002147B0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C72A81" w:rsidRDefault="00C72A81" w:rsidP="002147B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C72A81" w:rsidRPr="00FE14C9" w:rsidRDefault="00C72A81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81" w:rsidRPr="00FE14C9" w:rsidRDefault="00C72A81" w:rsidP="002147B0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.2019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1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C72A81" w:rsidRPr="00FE14C9" w:rsidRDefault="00C72A81" w:rsidP="002147B0">
            <w:pPr>
              <w:ind w:firstLine="0"/>
              <w:jc w:val="center"/>
              <w:rPr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C72A81" w:rsidRPr="00962734" w:rsidRDefault="00C72A81" w:rsidP="00962734">
      <w:pPr>
        <w:ind w:right="4818" w:firstLine="0"/>
        <w:rPr>
          <w:rFonts w:ascii="Times New Roman" w:hAnsi="Times New Roman"/>
          <w:sz w:val="24"/>
          <w:szCs w:val="24"/>
        </w:rPr>
      </w:pPr>
      <w:r w:rsidRPr="00962734">
        <w:rPr>
          <w:rFonts w:ascii="Times New Roman" w:hAnsi="Times New Roman"/>
          <w:sz w:val="24"/>
          <w:szCs w:val="24"/>
        </w:rPr>
        <w:t xml:space="preserve">О нормативах финансовых затрат, правилах расчета размера ассигнований из бюджета </w:t>
      </w:r>
      <w:r w:rsidR="00962734" w:rsidRPr="00962734">
        <w:rPr>
          <w:rFonts w:ascii="Times New Roman" w:hAnsi="Times New Roman"/>
          <w:sz w:val="24"/>
          <w:szCs w:val="24"/>
        </w:rPr>
        <w:t>Красночетайского</w:t>
      </w:r>
      <w:r w:rsidRPr="0096273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на капитальный ремонт, ремонт и содержание автомобильных дорог общего пользования местного значения </w:t>
      </w:r>
    </w:p>
    <w:p w:rsidR="00C72A81" w:rsidRPr="00962734" w:rsidRDefault="00C72A81" w:rsidP="00C72A81">
      <w:pPr>
        <w:ind w:firstLine="0"/>
        <w:rPr>
          <w:rFonts w:ascii="Times New Roman" w:hAnsi="Times New Roman"/>
          <w:sz w:val="24"/>
          <w:szCs w:val="24"/>
        </w:rPr>
      </w:pPr>
    </w:p>
    <w:p w:rsidR="00C72A81" w:rsidRPr="00962734" w:rsidRDefault="00C72A81" w:rsidP="00962734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62734">
        <w:rPr>
          <w:rFonts w:ascii="Times New Roman" w:hAnsi="Times New Roman"/>
          <w:sz w:val="24"/>
          <w:szCs w:val="24"/>
        </w:rPr>
        <w:t>В соответствии с частью 3 статьи 33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Кабинета Министров Чувашской Республики от 30.12.2008 № 415 "О нормативах финансовых затрат, Правилах расчета размера ассигнований из республиканского бюджета Чувашской Республики на капитальный ремонт, ремонт и содержание автомобильных дорог общего пользования</w:t>
      </w:r>
      <w:proofErr w:type="gramEnd"/>
      <w:r w:rsidRPr="00962734">
        <w:rPr>
          <w:rFonts w:ascii="Times New Roman" w:hAnsi="Times New Roman"/>
          <w:sz w:val="24"/>
          <w:szCs w:val="24"/>
        </w:rPr>
        <w:t xml:space="preserve"> регионального и межмуниципального значения в Чувашской Республике и порядке их содержания и ремонта", администрация </w:t>
      </w:r>
      <w:r w:rsidR="00962734" w:rsidRPr="00962734">
        <w:rPr>
          <w:rFonts w:ascii="Times New Roman" w:hAnsi="Times New Roman"/>
          <w:sz w:val="24"/>
          <w:szCs w:val="24"/>
        </w:rPr>
        <w:t>Красночетайского</w:t>
      </w:r>
      <w:r w:rsidRPr="0096273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proofErr w:type="spellStart"/>
      <w:proofErr w:type="gramStart"/>
      <w:r w:rsidR="00962734" w:rsidRPr="0096273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62734" w:rsidRPr="00962734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962734" w:rsidRPr="00962734">
        <w:rPr>
          <w:rFonts w:ascii="Times New Roman" w:hAnsi="Times New Roman"/>
          <w:sz w:val="24"/>
          <w:szCs w:val="24"/>
        </w:rPr>
        <w:t>н</w:t>
      </w:r>
      <w:proofErr w:type="spellEnd"/>
      <w:r w:rsidR="00962734" w:rsidRPr="00962734">
        <w:rPr>
          <w:rFonts w:ascii="Times New Roman" w:hAnsi="Times New Roman"/>
          <w:sz w:val="24"/>
          <w:szCs w:val="24"/>
        </w:rPr>
        <w:t xml:space="preserve"> о в л я е т</w:t>
      </w:r>
      <w:r w:rsidRPr="00962734">
        <w:rPr>
          <w:rFonts w:ascii="Times New Roman" w:hAnsi="Times New Roman"/>
          <w:sz w:val="24"/>
          <w:szCs w:val="24"/>
        </w:rPr>
        <w:t xml:space="preserve">: </w:t>
      </w:r>
    </w:p>
    <w:p w:rsidR="00C72A81" w:rsidRPr="00962734" w:rsidRDefault="00C72A81" w:rsidP="000B4360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962734">
        <w:rPr>
          <w:rFonts w:ascii="Times New Roman" w:hAnsi="Times New Roman"/>
          <w:sz w:val="24"/>
          <w:szCs w:val="24"/>
        </w:rPr>
        <w:t xml:space="preserve">1.Утвердить нормативы финансовых затрат на капитальный ремонт, ремонт и содержание автомобильных дорог общего пользования местного значения </w:t>
      </w:r>
      <w:r w:rsidR="00962734" w:rsidRPr="00962734">
        <w:rPr>
          <w:rFonts w:ascii="Times New Roman" w:hAnsi="Times New Roman"/>
          <w:sz w:val="24"/>
          <w:szCs w:val="24"/>
        </w:rPr>
        <w:t>Красночетайского</w:t>
      </w:r>
      <w:r w:rsidRPr="0096273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V категории (далее - нормативы финансовых затрат) в следующих размерах (</w:t>
      </w:r>
      <w:r w:rsidR="000B436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прогнозных ценах 2016 года</w:t>
      </w:r>
      <w:r w:rsidRPr="00962734">
        <w:rPr>
          <w:rFonts w:ascii="Times New Roman" w:hAnsi="Times New Roman"/>
          <w:sz w:val="24"/>
          <w:szCs w:val="24"/>
        </w:rPr>
        <w:t xml:space="preserve">): </w:t>
      </w:r>
    </w:p>
    <w:p w:rsidR="00C72A81" w:rsidRPr="00962734" w:rsidRDefault="000B4360" w:rsidP="0096273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11849</w:t>
      </w:r>
      <w:r w:rsidR="00C72A81" w:rsidRPr="00962734">
        <w:rPr>
          <w:rFonts w:ascii="Times New Roman" w:hAnsi="Times New Roman"/>
          <w:sz w:val="24"/>
          <w:szCs w:val="24"/>
        </w:rPr>
        <w:t xml:space="preserve"> тыс. рублей/</w:t>
      </w:r>
      <w:proofErr w:type="gramStart"/>
      <w:r w:rsidR="00C72A81" w:rsidRPr="00962734">
        <w:rPr>
          <w:rFonts w:ascii="Times New Roman" w:hAnsi="Times New Roman"/>
          <w:sz w:val="24"/>
          <w:szCs w:val="24"/>
        </w:rPr>
        <w:t>км</w:t>
      </w:r>
      <w:proofErr w:type="gramEnd"/>
      <w:r w:rsidR="00C72A81" w:rsidRPr="00962734">
        <w:rPr>
          <w:rFonts w:ascii="Times New Roman" w:hAnsi="Times New Roman"/>
          <w:sz w:val="24"/>
          <w:szCs w:val="24"/>
        </w:rPr>
        <w:t xml:space="preserve"> - на капитальный ремонт; </w:t>
      </w:r>
    </w:p>
    <w:p w:rsidR="00C72A81" w:rsidRPr="00962734" w:rsidRDefault="000B4360" w:rsidP="0096273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3545</w:t>
      </w:r>
      <w:r w:rsidR="00C72A81" w:rsidRPr="00962734">
        <w:rPr>
          <w:rFonts w:ascii="Times New Roman" w:hAnsi="Times New Roman"/>
          <w:sz w:val="24"/>
          <w:szCs w:val="24"/>
        </w:rPr>
        <w:t xml:space="preserve"> тыс. рублей/</w:t>
      </w:r>
      <w:proofErr w:type="gramStart"/>
      <w:r w:rsidR="00C72A81" w:rsidRPr="00962734">
        <w:rPr>
          <w:rFonts w:ascii="Times New Roman" w:hAnsi="Times New Roman"/>
          <w:sz w:val="24"/>
          <w:szCs w:val="24"/>
        </w:rPr>
        <w:t>км</w:t>
      </w:r>
      <w:proofErr w:type="gramEnd"/>
      <w:r w:rsidR="00C72A81" w:rsidRPr="00962734">
        <w:rPr>
          <w:rFonts w:ascii="Times New Roman" w:hAnsi="Times New Roman"/>
          <w:sz w:val="24"/>
          <w:szCs w:val="24"/>
        </w:rPr>
        <w:t xml:space="preserve"> - на ремонт; </w:t>
      </w:r>
    </w:p>
    <w:p w:rsidR="00C72A81" w:rsidRPr="00962734" w:rsidRDefault="000B4360" w:rsidP="0096273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</w:t>
      </w:r>
      <w:r w:rsidR="00C72A81" w:rsidRPr="00962734">
        <w:rPr>
          <w:rFonts w:ascii="Times New Roman" w:hAnsi="Times New Roman"/>
          <w:sz w:val="24"/>
          <w:szCs w:val="24"/>
        </w:rPr>
        <w:t xml:space="preserve"> тыс. рублей/</w:t>
      </w:r>
      <w:proofErr w:type="gramStart"/>
      <w:r w:rsidR="00C72A81" w:rsidRPr="00962734">
        <w:rPr>
          <w:rFonts w:ascii="Times New Roman" w:hAnsi="Times New Roman"/>
          <w:sz w:val="24"/>
          <w:szCs w:val="24"/>
        </w:rPr>
        <w:t>км</w:t>
      </w:r>
      <w:proofErr w:type="gramEnd"/>
      <w:r w:rsidR="00C72A81" w:rsidRPr="00962734">
        <w:rPr>
          <w:rFonts w:ascii="Times New Roman" w:hAnsi="Times New Roman"/>
          <w:sz w:val="24"/>
          <w:szCs w:val="24"/>
        </w:rPr>
        <w:t xml:space="preserve"> - на содержание; </w:t>
      </w:r>
    </w:p>
    <w:p w:rsidR="00C72A81" w:rsidRPr="00962734" w:rsidRDefault="00C72A81" w:rsidP="00962734">
      <w:pPr>
        <w:ind w:firstLine="567"/>
        <w:rPr>
          <w:rFonts w:ascii="Times New Roman" w:hAnsi="Times New Roman"/>
          <w:sz w:val="24"/>
          <w:szCs w:val="24"/>
        </w:rPr>
      </w:pPr>
      <w:r w:rsidRPr="00962734">
        <w:rPr>
          <w:rFonts w:ascii="Times New Roman" w:hAnsi="Times New Roman"/>
          <w:sz w:val="24"/>
          <w:szCs w:val="24"/>
        </w:rPr>
        <w:t xml:space="preserve">2. Утвердить правила расчета размера ассигнований из бюджета </w:t>
      </w:r>
      <w:r w:rsidR="00962734" w:rsidRPr="00962734">
        <w:rPr>
          <w:rFonts w:ascii="Times New Roman" w:hAnsi="Times New Roman"/>
          <w:sz w:val="24"/>
          <w:szCs w:val="24"/>
        </w:rPr>
        <w:t>Красночетайского</w:t>
      </w:r>
      <w:r w:rsidRPr="0096273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на капитальный ремонт, ремонт и содержание автомобильных дорог общего пользования местного значения согласно приложению № 1 к настоящему постановлению. </w:t>
      </w:r>
    </w:p>
    <w:p w:rsidR="00C72A81" w:rsidRPr="00962734" w:rsidRDefault="00C72A81" w:rsidP="00962734">
      <w:pPr>
        <w:ind w:firstLine="567"/>
        <w:rPr>
          <w:rFonts w:ascii="Times New Roman" w:hAnsi="Times New Roman"/>
          <w:sz w:val="24"/>
          <w:szCs w:val="24"/>
        </w:rPr>
      </w:pPr>
      <w:r w:rsidRPr="00962734">
        <w:rPr>
          <w:rFonts w:ascii="Times New Roman" w:hAnsi="Times New Roman"/>
          <w:sz w:val="24"/>
          <w:szCs w:val="24"/>
        </w:rPr>
        <w:t xml:space="preserve">3. Администрации </w:t>
      </w:r>
      <w:r w:rsidR="00962734" w:rsidRPr="00962734">
        <w:rPr>
          <w:rFonts w:ascii="Times New Roman" w:hAnsi="Times New Roman"/>
          <w:sz w:val="24"/>
          <w:szCs w:val="24"/>
        </w:rPr>
        <w:t>Красночетайского</w:t>
      </w:r>
      <w:r w:rsidRPr="0096273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обеспечить в течение 2019 - 2021 годов поэтапный переход к финансированию капитального ремонта, ремонта и </w:t>
      </w:r>
      <w:proofErr w:type="gramStart"/>
      <w:r w:rsidRPr="00962734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962734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по утвержденным пунктом 1 настоящего постановления нормативам финансовых затрат. </w:t>
      </w:r>
    </w:p>
    <w:p w:rsidR="00C72A81" w:rsidRDefault="00C72A81" w:rsidP="00962734">
      <w:pPr>
        <w:ind w:firstLine="567"/>
        <w:rPr>
          <w:rFonts w:ascii="Times New Roman" w:hAnsi="Times New Roman"/>
          <w:sz w:val="24"/>
          <w:szCs w:val="24"/>
        </w:rPr>
      </w:pPr>
      <w:r w:rsidRPr="0096273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627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73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962734" w:rsidRPr="00962734" w:rsidRDefault="00962734" w:rsidP="00962734">
      <w:pPr>
        <w:ind w:firstLine="567"/>
        <w:rPr>
          <w:rFonts w:ascii="Times New Roman" w:hAnsi="Times New Roman"/>
          <w:sz w:val="24"/>
          <w:szCs w:val="24"/>
        </w:rPr>
      </w:pPr>
    </w:p>
    <w:p w:rsidR="00C72A81" w:rsidRPr="00962734" w:rsidRDefault="00C72A81" w:rsidP="00C72A8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72A81" w:rsidRPr="00962734" w:rsidRDefault="00C72A81" w:rsidP="00C72A81">
      <w:pPr>
        <w:rPr>
          <w:rFonts w:ascii="Times New Roman" w:hAnsi="Times New Roman" w:cs="Times New Roman"/>
          <w:sz w:val="24"/>
          <w:szCs w:val="24"/>
        </w:rPr>
      </w:pPr>
    </w:p>
    <w:p w:rsidR="00C72A81" w:rsidRPr="00962734" w:rsidRDefault="00C72A81" w:rsidP="00C72A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2734">
        <w:rPr>
          <w:rFonts w:ascii="Times New Roman" w:hAnsi="Times New Roman" w:cs="Times New Roman"/>
          <w:kern w:val="28"/>
          <w:sz w:val="24"/>
          <w:szCs w:val="24"/>
        </w:rPr>
        <w:t>Глава администрации сельского поселения</w:t>
      </w:r>
      <w:r w:rsidRPr="00962734">
        <w:rPr>
          <w:rFonts w:ascii="Times New Roman" w:hAnsi="Times New Roman" w:cs="Times New Roman"/>
          <w:kern w:val="28"/>
          <w:sz w:val="24"/>
          <w:szCs w:val="24"/>
        </w:rPr>
        <w:tab/>
      </w:r>
      <w:r w:rsidRPr="00962734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r w:rsidR="00962734">
        <w:rPr>
          <w:rFonts w:ascii="Times New Roman" w:hAnsi="Times New Roman" w:cs="Times New Roman"/>
          <w:kern w:val="28"/>
          <w:sz w:val="24"/>
          <w:szCs w:val="24"/>
        </w:rPr>
        <w:t xml:space="preserve">                     </w:t>
      </w:r>
      <w:r w:rsidRPr="00962734">
        <w:rPr>
          <w:rFonts w:ascii="Times New Roman" w:hAnsi="Times New Roman" w:cs="Times New Roman"/>
          <w:kern w:val="28"/>
          <w:sz w:val="24"/>
          <w:szCs w:val="24"/>
        </w:rPr>
        <w:tab/>
        <w:t>А.Г. Волков</w:t>
      </w:r>
    </w:p>
    <w:p w:rsidR="00C72A81" w:rsidRDefault="00C72A81" w:rsidP="00C72A81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_GoBack"/>
      <w:bookmarkEnd w:id="1"/>
    </w:p>
    <w:p w:rsidR="00C72A81" w:rsidRDefault="00C72A81" w:rsidP="00C72A81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72A81" w:rsidRPr="00C72A81" w:rsidRDefault="00C72A81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72A8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72A81">
        <w:rPr>
          <w:rFonts w:ascii="Times New Roman" w:hAnsi="Times New Roman" w:cs="Times New Roman"/>
        </w:rPr>
        <w:t xml:space="preserve">Утверждены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72A81">
        <w:rPr>
          <w:rFonts w:ascii="Times New Roman" w:hAnsi="Times New Roman" w:cs="Times New Roman"/>
        </w:rPr>
        <w:t xml:space="preserve">постановлением администрации </w:t>
      </w:r>
    </w:p>
    <w:p w:rsidR="00C72A81" w:rsidRPr="00C72A81" w:rsidRDefault="00962734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</w:t>
      </w:r>
      <w:r w:rsidR="00C72A81" w:rsidRPr="00C72A81">
        <w:rPr>
          <w:rFonts w:ascii="Times New Roman" w:hAnsi="Times New Roman" w:cs="Times New Roman"/>
        </w:rPr>
        <w:t xml:space="preserve"> сельского поселения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72A81">
        <w:rPr>
          <w:rFonts w:ascii="Times New Roman" w:hAnsi="Times New Roman" w:cs="Times New Roman"/>
        </w:rPr>
        <w:t xml:space="preserve">Красночетайского района Чувашской Республики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72A81">
        <w:rPr>
          <w:rFonts w:ascii="Times New Roman" w:hAnsi="Times New Roman" w:cs="Times New Roman"/>
        </w:rPr>
        <w:t xml:space="preserve">от </w:t>
      </w:r>
      <w:r w:rsidR="002147B0">
        <w:rPr>
          <w:rFonts w:ascii="Times New Roman" w:hAnsi="Times New Roman" w:cs="Times New Roman"/>
        </w:rPr>
        <w:t>22.07.2019 г. №67</w:t>
      </w:r>
    </w:p>
    <w:p w:rsidR="00C72A81" w:rsidRPr="00C72A81" w:rsidRDefault="00C72A81" w:rsidP="00C72A8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C72A81" w:rsidRPr="002147B0" w:rsidRDefault="00C72A81" w:rsidP="00C72A8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7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47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7B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147B0">
        <w:rPr>
          <w:rFonts w:ascii="Times New Roman" w:hAnsi="Times New Roman" w:cs="Times New Roman"/>
          <w:b/>
          <w:sz w:val="24"/>
          <w:szCs w:val="24"/>
        </w:rPr>
        <w:t xml:space="preserve"> а в и л а</w:t>
      </w:r>
    </w:p>
    <w:p w:rsidR="00C72A81" w:rsidRPr="002147B0" w:rsidRDefault="00C72A81" w:rsidP="00C72A8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B0">
        <w:rPr>
          <w:rFonts w:ascii="Times New Roman" w:hAnsi="Times New Roman" w:cs="Times New Roman"/>
          <w:b/>
          <w:sz w:val="24"/>
          <w:szCs w:val="24"/>
        </w:rPr>
        <w:t xml:space="preserve">расчета размера ассигнований из бюджета </w:t>
      </w:r>
      <w:r w:rsidR="00962734" w:rsidRPr="002147B0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r w:rsidRPr="002147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на капитальный ремонт, ремонт и содержание автомобильных дорог общего пользования местного значения </w:t>
      </w:r>
    </w:p>
    <w:p w:rsidR="00C72A81" w:rsidRPr="00C72A81" w:rsidRDefault="00C72A81" w:rsidP="00C72A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1. Нормативы финансовых затрат применяются для определения размера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Республики, предусматриваемых на капитальный ремонт, ремонт и содержание автомобильных дорог общего пользования местного значения на 2019 год и последующие годы.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местного значения определяются приведенные нормативы (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ап.рем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Нприв.сод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), рассчитываемые по формуле: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Н ×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Ккат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Н – установленный норматив финансовых затрат на капитальный ремонт, ремонт и содержание автомобильных дорог местного значения V категории;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индекс-дефлятор цен на год планирования (при расчете на период более одного года – произведение индексов-дефляторов на соответствующие годы), разработанные Министерством экономического развития и торговли Чувашской Республики;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Ккат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дифференциацию стоимости работ по капитальному ремонту, ремонту и содержанию автомобильных дорог местного значения по соответствующим категориям, согласно таблице № 1.</w:t>
      </w: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1 </w:t>
      </w:r>
    </w:p>
    <w:p w:rsid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 работ по капитальному ремонту, ремонту и содержанию автомобильных дорог местного значения по соответствующим категориям</w:t>
      </w:r>
    </w:p>
    <w:p w:rsidR="0081711C" w:rsidRPr="00C72A81" w:rsidRDefault="0081711C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74" w:type="dxa"/>
        <w:tblLook w:val="04A0"/>
      </w:tblPr>
      <w:tblGrid>
        <w:gridCol w:w="4361"/>
        <w:gridCol w:w="1134"/>
        <w:gridCol w:w="1418"/>
        <w:gridCol w:w="1276"/>
        <w:gridCol w:w="2085"/>
      </w:tblGrid>
      <w:tr w:rsidR="00C05B86" w:rsidTr="00C05B86">
        <w:tc>
          <w:tcPr>
            <w:tcW w:w="4361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    </w:t>
            </w:r>
          </w:p>
        </w:tc>
        <w:tc>
          <w:tcPr>
            <w:tcW w:w="1134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85" w:type="dxa"/>
          </w:tcPr>
          <w:p w:rsidR="00C05B86" w:rsidRDefault="00C05B86" w:rsidP="00C05B86">
            <w:pPr>
              <w:spacing w:before="100" w:beforeAutospacing="1" w:after="100" w:afterAutospacing="1"/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</w:tc>
      </w:tr>
      <w:tr w:rsidR="00C05B86" w:rsidTr="00C05B86">
        <w:tc>
          <w:tcPr>
            <w:tcW w:w="4361" w:type="dxa"/>
          </w:tcPr>
          <w:p w:rsidR="00C05B86" w:rsidRDefault="00C05B86" w:rsidP="00C72A81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34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8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76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6" w:rsidTr="00C05B86">
        <w:tc>
          <w:tcPr>
            <w:tcW w:w="4361" w:type="dxa"/>
          </w:tcPr>
          <w:p w:rsidR="00C05B86" w:rsidRDefault="00C05B86" w:rsidP="00C72A81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 xml:space="preserve">Ремонт   </w:t>
            </w:r>
          </w:p>
        </w:tc>
        <w:tc>
          <w:tcPr>
            <w:tcW w:w="1134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18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76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6" w:rsidTr="00C05B86">
        <w:tc>
          <w:tcPr>
            <w:tcW w:w="4361" w:type="dxa"/>
          </w:tcPr>
          <w:p w:rsidR="00C05B86" w:rsidRDefault="00C05B86" w:rsidP="00C72A81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A8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418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276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05B86" w:rsidRDefault="00C05B86" w:rsidP="00C05B86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</w:tbl>
    <w:p w:rsidR="00C05B86" w:rsidRPr="00C72A81" w:rsidRDefault="00C05B86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3. Определение размера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капитальный ремонт и ремонт автомобильных дорог местного значения осуществляется по следующим формулам: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Нприв.кап.рем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Lкап.рем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размер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работ по капитальному ремонту автомобильных дорог местного значения каждой категории, тыс. рублей;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ап.рем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приведенный норматив финансовых затрат на работы по капитальному ремонту автомобильных дорог местного значения каждой категории, тыс. рублей/км;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расчетная протяженность автомобильных дорог местного значения каждой категории, подлежащих капитальному ремонту на год планирования, км;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размер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работ по ремонту автомобильных дорог местного значения каждой категории, тыс. рублей;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приведенный норматив финансовых затрат на работы по ремонту автомобильных дорог местного значения каждой категории, тыс. рублей/км;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расчетная протяженность автомобильных дорог местного значения каждой категории, подлежащих ремонту на год планирования, 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работ по капитальному ремонту и ремонту автомобильных дорог местного значения определяется как сумма ассигнований на выполнение данных работ по всем категориям.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4. Расчет размера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содержание автомобильных дорог местного значения осуществляется по формуле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Асод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× L,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Асод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размер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работ по содержанию автомобильных дорог местного значения каждой категории, тыс. рублей;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Нприв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приведенный норматив финансовых затрат на работы по содержанию автомобильных дорог местного значения каждой категории, тыс. рублей/км;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L – протяженность автомобильных дорог местного значения каждой категории на 1 января года, предшествующего планируемому периоду, 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работ по содержанию республиканских автомобильных дорог определяется как сумма ассигнований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выполнение данных работ по всем категориям автомобильных дорог местного значения.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5. Суммарная годовая потребность в ассигнованиях из бюджета </w:t>
      </w:r>
      <w:r w:rsidR="00962734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C72A81">
        <w:rPr>
          <w:rFonts w:ascii="Times New Roman" w:hAnsi="Times New Roman" w:cs="Times New Roman"/>
          <w:sz w:val="24"/>
          <w:szCs w:val="24"/>
        </w:rPr>
        <w:t xml:space="preserve"> </w:t>
      </w:r>
      <w:r w:rsidRPr="00C72A81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Красночетайского района Чувашской Республики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местного значения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 с учетом правил арифметического округления). </w:t>
      </w:r>
      <w:proofErr w:type="gramEnd"/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>7. Расчетная протяженность автомобильных дорог местного значения каждой категории, подлежащих капитальному ремонту на год планирования (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), определяется по формуле: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L /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Tкап.рем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Lрек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Tкап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нормативный межремонтный срок работ по капитальному ремонту для автомобильных дорог местного значения каждой категории согласно табл. 2, лет;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Lрек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протяженность автомобильных дорог местного значения каждой категории, намеченных к реконструкции на год планирования, 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 xml:space="preserve">/год.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>8. Расчетная протяженность автомобильных дорог местного значения каждой категории, подлежащих ремонту на год планирования (</w:t>
      </w:r>
      <w:proofErr w:type="spellStart"/>
      <w:proofErr w:type="gramStart"/>
      <w:r w:rsidRPr="00C72A8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), определяется по формуле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= L /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Tрем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Lрек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72A81">
        <w:rPr>
          <w:rFonts w:ascii="Times New Roman" w:hAnsi="Times New Roman" w:cs="Times New Roman"/>
          <w:sz w:val="24"/>
          <w:szCs w:val="24"/>
        </w:rPr>
        <w:t>Lкап</w:t>
      </w:r>
      <w:proofErr w:type="gramStart"/>
      <w:r w:rsidRPr="00C7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A8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72A81">
        <w:rPr>
          <w:rFonts w:ascii="Times New Roman" w:hAnsi="Times New Roman" w:cs="Times New Roman"/>
          <w:sz w:val="24"/>
          <w:szCs w:val="24"/>
        </w:rPr>
        <w:t>рем</w:t>
      </w:r>
      <w:proofErr w:type="spellEnd"/>
      <w:r w:rsidRPr="00C72A81">
        <w:rPr>
          <w:rFonts w:ascii="Times New Roman" w:hAnsi="Times New Roman" w:cs="Times New Roman"/>
          <w:sz w:val="24"/>
          <w:szCs w:val="24"/>
        </w:rPr>
        <w:t xml:space="preserve"> – нормативный межремонтный срок по ремонту для автомобильных дорог местного значения каждой категории согласно таблице № 2, лет. </w:t>
      </w:r>
    </w:p>
    <w:p w:rsidR="00C72A81" w:rsidRP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C72A81" w:rsidRDefault="00C72A81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Нормативные межремонтные сроки (лет) </w:t>
      </w:r>
    </w:p>
    <w:p w:rsidR="0081711C" w:rsidRDefault="0081711C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524"/>
        <w:gridCol w:w="2126"/>
        <w:gridCol w:w="1934"/>
        <w:gridCol w:w="50"/>
      </w:tblGrid>
      <w:tr w:rsidR="001A3929" w:rsidRPr="001A3929">
        <w:trPr>
          <w:gridAfter w:val="1"/>
          <w:wAfter w:w="50" w:type="dxa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Категории автомобильных дорог</w:t>
            </w:r>
          </w:p>
        </w:tc>
      </w:tr>
      <w:tr w:rsidR="001A3929" w:rsidRPr="001A3929" w:rsidTr="001A3929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</w:t>
            </w:r>
          </w:p>
        </w:tc>
      </w:tr>
      <w:tr w:rsidR="001A3929" w:rsidRPr="001A3929" w:rsidTr="001A392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A3929" w:rsidRPr="001A3929" w:rsidTr="001A392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9" w:rsidRPr="001A3929" w:rsidRDefault="001A3929" w:rsidP="001A392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9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1A3929" w:rsidRPr="00C72A81" w:rsidRDefault="001A3929" w:rsidP="00C72A8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72A81" w:rsidRPr="00C72A81" w:rsidRDefault="00C72A81" w:rsidP="00C72A81">
      <w:pPr>
        <w:pStyle w:val="ConsPlusNormal"/>
        <w:contextualSpacing/>
        <w:jc w:val="both"/>
        <w:rPr>
          <w:sz w:val="24"/>
          <w:szCs w:val="24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2A81" w:rsidRPr="00C72A81" w:rsidRDefault="00C72A81" w:rsidP="00C72A81">
      <w:pPr>
        <w:pStyle w:val="2"/>
        <w:ind w:firstLine="0"/>
        <w:jc w:val="both"/>
        <w:rPr>
          <w:rFonts w:cs="Times New Roman"/>
          <w:sz w:val="24"/>
          <w:szCs w:val="24"/>
        </w:rPr>
      </w:pPr>
      <w:r w:rsidRPr="00C72A81">
        <w:rPr>
          <w:rFonts w:cs="Times New Roman"/>
          <w:sz w:val="24"/>
          <w:szCs w:val="24"/>
        </w:rPr>
        <w:t xml:space="preserve">      </w:t>
      </w:r>
    </w:p>
    <w:p w:rsidR="00C72A81" w:rsidRPr="00C72A81" w:rsidRDefault="00C72A81" w:rsidP="00C72A81">
      <w:pPr>
        <w:rPr>
          <w:rFonts w:ascii="Times New Roman" w:hAnsi="Times New Roman" w:cs="Times New Roman"/>
          <w:sz w:val="24"/>
          <w:szCs w:val="24"/>
        </w:rPr>
      </w:pPr>
    </w:p>
    <w:p w:rsidR="00C72A81" w:rsidRPr="00C72A81" w:rsidRDefault="00C72A81" w:rsidP="00C72A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2A8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2A81" w:rsidRPr="00C72A81" w:rsidRDefault="00C72A81" w:rsidP="00C72A81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C72A8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72A8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C72A81" w:rsidRPr="00C72A81" w:rsidRDefault="00C72A81" w:rsidP="00C72A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3C13" w:rsidRPr="00C72A81" w:rsidRDefault="00DC3C13">
      <w:pPr>
        <w:rPr>
          <w:sz w:val="24"/>
          <w:szCs w:val="24"/>
        </w:rPr>
      </w:pPr>
    </w:p>
    <w:sectPr w:rsidR="00DC3C13" w:rsidRPr="00C72A81" w:rsidSect="002147B0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81"/>
    <w:rsid w:val="000B4360"/>
    <w:rsid w:val="001A3929"/>
    <w:rsid w:val="002147B0"/>
    <w:rsid w:val="0081711C"/>
    <w:rsid w:val="00962734"/>
    <w:rsid w:val="00C05B86"/>
    <w:rsid w:val="00C72A81"/>
    <w:rsid w:val="00D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72A81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72A81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C72A81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72A81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ConsPlusNormal">
    <w:name w:val="ConsPlusNormal"/>
    <w:rsid w:val="00C72A8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table" w:styleId="a5">
    <w:name w:val="Table Grid"/>
    <w:basedOn w:val="a1"/>
    <w:uiPriority w:val="59"/>
    <w:rsid w:val="00C0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2019-07-22T05:32:00Z</dcterms:created>
  <dcterms:modified xsi:type="dcterms:W3CDTF">2019-07-22T06:27:00Z</dcterms:modified>
</cp:coreProperties>
</file>