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1C411F" w:rsidRPr="001C411F" w:rsidTr="001C411F">
        <w:trPr>
          <w:cantSplit/>
          <w:trHeight w:val="420"/>
        </w:trPr>
        <w:tc>
          <w:tcPr>
            <w:tcW w:w="4109" w:type="dxa"/>
            <w:hideMark/>
          </w:tcPr>
          <w:p w:rsidR="001C411F" w:rsidRPr="001C411F" w:rsidRDefault="001C411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1C411F" w:rsidRPr="001C411F" w:rsidRDefault="001C411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 w:rsidRPr="001C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1C411F" w:rsidRPr="001C411F" w:rsidRDefault="001C411F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C411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11F" w:rsidRPr="001C411F" w:rsidRDefault="001C411F">
            <w:pPr>
              <w:suppressAutoHyphens/>
              <w:ind w:firstLine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36" w:type="dxa"/>
            <w:hideMark/>
          </w:tcPr>
          <w:p w:rsidR="001C411F" w:rsidRPr="001C411F" w:rsidRDefault="001C411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1C411F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 xml:space="preserve"> ВУРНАРС</w:t>
            </w: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1C411F" w:rsidRPr="001C411F" w:rsidTr="001C411F">
        <w:trPr>
          <w:cantSplit/>
          <w:trHeight w:val="1563"/>
        </w:trPr>
        <w:tc>
          <w:tcPr>
            <w:tcW w:w="4109" w:type="dxa"/>
            <w:hideMark/>
          </w:tcPr>
          <w:p w:rsidR="001C411F" w:rsidRPr="001C411F" w:rsidRDefault="001C411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1C411F" w:rsidRPr="001C411F" w:rsidRDefault="001C411F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1C411F" w:rsidRPr="001C411F" w:rsidRDefault="001C411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1C411F" w:rsidRPr="001C411F" w:rsidRDefault="001C411F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C411F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>ЙЫШАНУ</w:t>
            </w:r>
          </w:p>
          <w:p w:rsidR="001C411F" w:rsidRPr="001C411F" w:rsidRDefault="001C411F">
            <w:pPr>
              <w:pStyle w:val="a6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Октябрĕн</w:t>
            </w:r>
            <w:proofErr w:type="spellEnd"/>
            <w:r w:rsidRPr="001C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17-мĕшĕ 2019ҫ.   № 50   </w:t>
            </w:r>
          </w:p>
          <w:p w:rsidR="001C411F" w:rsidRPr="001C411F" w:rsidRDefault="001C411F">
            <w:pPr>
              <w:suppressAutoHyphens/>
              <w:ind w:firstLine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1F">
              <w:rPr>
                <w:rFonts w:ascii="Times New Roman" w:hAnsi="Times New Roman" w:cs="Times New Roman"/>
                <w:color w:val="000000"/>
              </w:rPr>
              <w:t>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1C411F" w:rsidRPr="001C411F" w:rsidRDefault="001C411F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36" w:type="dxa"/>
            <w:hideMark/>
          </w:tcPr>
          <w:p w:rsidR="001C411F" w:rsidRPr="001C411F" w:rsidRDefault="001C411F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1C411F" w:rsidRPr="001C411F" w:rsidRDefault="001C411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1C411F" w:rsidRPr="001C411F" w:rsidRDefault="001C411F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</w:rPr>
            </w:pPr>
            <w:r w:rsidRPr="001C4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1C4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F" w:rsidRPr="001C411F" w:rsidRDefault="001C411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C411F">
              <w:rPr>
                <w:rStyle w:val="a7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1C411F" w:rsidRPr="001C411F" w:rsidRDefault="001C411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1F">
              <w:rPr>
                <w:rFonts w:ascii="Times New Roman" w:hAnsi="Times New Roman" w:cs="Times New Roman"/>
                <w:sz w:val="24"/>
                <w:szCs w:val="24"/>
              </w:rPr>
              <w:t>"17» октября 2019г.   № 50</w:t>
            </w:r>
          </w:p>
          <w:p w:rsidR="001C411F" w:rsidRPr="001C411F" w:rsidRDefault="001C411F">
            <w:pPr>
              <w:suppressAutoHyphens/>
              <w:ind w:firstLine="56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1C411F">
              <w:rPr>
                <w:rFonts w:ascii="Times New Roman" w:hAnsi="Times New Roman" w:cs="Times New Roman"/>
                <w:color w:val="000000"/>
              </w:rPr>
              <w:t>дер</w:t>
            </w:r>
            <w:proofErr w:type="gramStart"/>
            <w:r w:rsidRPr="001C411F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1C411F">
              <w:rPr>
                <w:rFonts w:ascii="Times New Roman" w:hAnsi="Times New Roman" w:cs="Times New Roman"/>
                <w:color w:val="000000"/>
              </w:rPr>
              <w:t>йкас-Кибеки</w:t>
            </w:r>
            <w:proofErr w:type="spellEnd"/>
          </w:p>
        </w:tc>
      </w:tr>
    </w:tbl>
    <w:p w:rsidR="005A28CE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создании наблюдательной комиссии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социальной адаптации 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освобожденных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лишения свободы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принятия мер по социальной адаптации 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освобожденных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 лишения свободы, а также реализации мероприятий муниципальной программы «Профилактика правонарушений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утвержденной постановлением администрации Ойкас-Кибекского сельского поселения Вурнарского района Чувашской Республики от 14.03.2019 года № 14  и на основании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Ойкас-Кибекского сельского поселения Вурнарского района Чувашской Республики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наблюдательной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адаптации 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 лишения свободы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№1).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Состав наблюдательной комиссии по социальной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адаптации 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 лишения свободы (приложение № 2).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Ойкас-Кибекского сельского поселения      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Вурнарского района Чувашской Республики                                        А.В.Петров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411F" w:rsidRDefault="001C411F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№1</w:t>
      </w: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постановлению администрации </w:t>
      </w: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Ойкас-Кибекского сельского поселения</w:t>
      </w: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Вурнарского района от  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.2019  № 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наблюдательной комиссии по социальной адаптации лиц,</w:t>
      </w:r>
    </w:p>
    <w:p w:rsidR="005A28CE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 лишения свободы</w:t>
      </w:r>
      <w:proofErr w:type="gramEnd"/>
    </w:p>
    <w:p w:rsidR="005A28CE" w:rsidRPr="006959F2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целях координации действий 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заинтересованных органов для оперативного разрешения вопросов,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связанных с выработкой и реализацией мер по социальной адаптации лиц,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освобожденных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мест лишения свободы, нуждающихся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социальной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поддержке.</w:t>
      </w:r>
      <w:proofErr w:type="gramEnd"/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C3A4C" w:rsidRDefault="005A28CE" w:rsidP="005A28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3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положения.</w:t>
      </w:r>
    </w:p>
    <w:p w:rsidR="005A28CE" w:rsidRPr="006C3A4C" w:rsidRDefault="005A28CE" w:rsidP="005A28CE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Комиссия по социальной адаптации 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лишения свободы, создана 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программой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«Профилактика правонарушений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утвержденной постановлением администрации Ойкас-Кибекского сельского поселения Вурнарского района Чувашской Республики от 14.03.2019 года № 14.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на постоянной основе и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коллегиальным органом. Порядок деятельности Комиссии определяется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Положением.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своей деятельности Комиссия руководствуется Конституцией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 общепризнанными принципами и нормами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международного права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международными договорами 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 федеральными конституционными законами, федеральными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законами, иными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законами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иными нормативными правовыми актами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нормативными правовыми актами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Вурнарского района Чувашской Республики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Ойкас-Кибекского сельского поселения Вурнарского района Чувашской Республики,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настоящим Положением.</w:t>
      </w:r>
      <w:proofErr w:type="gramEnd"/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Задачи и функции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28CE" w:rsidRDefault="005A28CE" w:rsidP="005A28CE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2.1 К</w:t>
      </w:r>
      <w:r w:rsidRPr="006A71A6">
        <w:rPr>
          <w:bCs/>
          <w:sz w:val="26"/>
          <w:szCs w:val="26"/>
        </w:rPr>
        <w:t>омплексное обследование жилищно-бытовых условий лиц, освобождающихся из мест лишения свободы</w:t>
      </w:r>
      <w:r>
        <w:rPr>
          <w:bCs/>
          <w:sz w:val="26"/>
          <w:szCs w:val="26"/>
        </w:rPr>
        <w:t>.</w:t>
      </w:r>
    </w:p>
    <w:p w:rsidR="005A28CE" w:rsidRPr="006A71A6" w:rsidRDefault="005A28CE" w:rsidP="005A28CE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2.2 У</w:t>
      </w:r>
      <w:r w:rsidRPr="006A71A6">
        <w:rPr>
          <w:bCs/>
          <w:sz w:val="26"/>
          <w:szCs w:val="26"/>
        </w:rPr>
        <w:t xml:space="preserve">частие  в </w:t>
      </w:r>
      <w:proofErr w:type="gramStart"/>
      <w:r w:rsidRPr="006A71A6">
        <w:rPr>
          <w:bCs/>
          <w:sz w:val="26"/>
          <w:szCs w:val="26"/>
        </w:rPr>
        <w:t>решении</w:t>
      </w:r>
      <w:proofErr w:type="gramEnd"/>
      <w:r w:rsidRPr="006A71A6">
        <w:rPr>
          <w:bCs/>
          <w:sz w:val="26"/>
          <w:szCs w:val="26"/>
        </w:rPr>
        <w:t xml:space="preserve"> вопроса временного проживания лица, освободившегося из мест лишения свободы, с последующей постановкой  его на учет в качестве нуждающегося в жилом помещении</w:t>
      </w:r>
      <w:r>
        <w:rPr>
          <w:bCs/>
          <w:sz w:val="26"/>
          <w:szCs w:val="26"/>
        </w:rPr>
        <w:t xml:space="preserve"> (</w:t>
      </w:r>
      <w:r w:rsidRPr="006A71A6">
        <w:rPr>
          <w:bCs/>
          <w:sz w:val="26"/>
          <w:szCs w:val="26"/>
        </w:rPr>
        <w:t>в случае необходимости</w:t>
      </w:r>
      <w:r>
        <w:rPr>
          <w:bCs/>
          <w:sz w:val="26"/>
          <w:szCs w:val="26"/>
        </w:rPr>
        <w:t>).</w:t>
      </w:r>
    </w:p>
    <w:p w:rsidR="005A28CE" w:rsidRDefault="005A28CE" w:rsidP="005A28CE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2.3. У</w:t>
      </w:r>
      <w:r w:rsidRPr="006A71A6">
        <w:rPr>
          <w:bCs/>
          <w:sz w:val="26"/>
          <w:szCs w:val="26"/>
        </w:rPr>
        <w:t xml:space="preserve">частие совместно с Центром занятости населения Вурнарского района и Межведомственной комиссией  в трудоустройстве лиц, освободившихся из мест лишения свободы, либо </w:t>
      </w:r>
      <w:proofErr w:type="gramStart"/>
      <w:r w:rsidRPr="006A71A6">
        <w:rPr>
          <w:bCs/>
          <w:sz w:val="26"/>
          <w:szCs w:val="26"/>
        </w:rPr>
        <w:t>условно-осужденных</w:t>
      </w:r>
      <w:proofErr w:type="gramEnd"/>
      <w:r w:rsidRPr="006A71A6">
        <w:rPr>
          <w:bCs/>
          <w:sz w:val="26"/>
          <w:szCs w:val="26"/>
        </w:rPr>
        <w:t xml:space="preserve"> лиц</w:t>
      </w:r>
      <w:r>
        <w:rPr>
          <w:bCs/>
          <w:sz w:val="26"/>
          <w:szCs w:val="26"/>
        </w:rPr>
        <w:t>.</w:t>
      </w:r>
    </w:p>
    <w:p w:rsidR="005A28CE" w:rsidRPr="006A71A6" w:rsidRDefault="005A28CE" w:rsidP="005A28CE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2.4.Н</w:t>
      </w:r>
      <w:r w:rsidRPr="006A71A6">
        <w:rPr>
          <w:bCs/>
          <w:sz w:val="26"/>
          <w:szCs w:val="26"/>
        </w:rPr>
        <w:t>аправление в трехмесячный срок с момента освобождения ранее осужденного лица при необходимости к адвокатам  по месту регистрации для получения бесплатной юридической помощи (оформление наследства, регистрация прав и др.)</w:t>
      </w:r>
      <w:r>
        <w:rPr>
          <w:bCs/>
          <w:sz w:val="26"/>
          <w:szCs w:val="26"/>
        </w:rPr>
        <w:t>.</w:t>
      </w:r>
      <w:r w:rsidRPr="006A71A6">
        <w:rPr>
          <w:bCs/>
          <w:sz w:val="26"/>
          <w:szCs w:val="26"/>
        </w:rPr>
        <w:t xml:space="preserve">   </w:t>
      </w:r>
    </w:p>
    <w:p w:rsidR="005A28CE" w:rsidRPr="006A71A6" w:rsidRDefault="005A28CE" w:rsidP="005A28CE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2.5. </w:t>
      </w:r>
      <w:proofErr w:type="gramStart"/>
      <w:r>
        <w:rPr>
          <w:bCs/>
          <w:sz w:val="26"/>
          <w:szCs w:val="26"/>
        </w:rPr>
        <w:t>У</w:t>
      </w:r>
      <w:r w:rsidRPr="006A71A6">
        <w:rPr>
          <w:bCs/>
          <w:sz w:val="26"/>
          <w:szCs w:val="26"/>
        </w:rPr>
        <w:t xml:space="preserve">частие в восстановлении родственных и устойчивых положительных связей лиц, освободившихся из мест лишения свободы, особенно с детьми, при </w:t>
      </w:r>
      <w:r w:rsidRPr="006A71A6">
        <w:rPr>
          <w:bCs/>
          <w:sz w:val="26"/>
          <w:szCs w:val="26"/>
        </w:rPr>
        <w:lastRenderedPageBreak/>
        <w:t>необходимости  с ходатайством перед Межведомственной комиссией о  привлечении специалистов социально - психологических служб</w:t>
      </w:r>
      <w:r>
        <w:rPr>
          <w:bCs/>
          <w:sz w:val="26"/>
          <w:szCs w:val="26"/>
        </w:rPr>
        <w:t>.</w:t>
      </w:r>
      <w:r w:rsidRPr="006A71A6">
        <w:rPr>
          <w:bCs/>
          <w:sz w:val="26"/>
          <w:szCs w:val="26"/>
        </w:rPr>
        <w:t xml:space="preserve"> </w:t>
      </w:r>
      <w:proofErr w:type="gramEnd"/>
    </w:p>
    <w:p w:rsidR="005A28CE" w:rsidRDefault="005A28CE" w:rsidP="005A28CE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2.6. У</w:t>
      </w:r>
      <w:r w:rsidRPr="006A71A6">
        <w:rPr>
          <w:bCs/>
          <w:sz w:val="26"/>
          <w:szCs w:val="26"/>
        </w:rPr>
        <w:t xml:space="preserve">частие совместно с БУ ЧР «Вурнарская ЦРБ» в </w:t>
      </w:r>
      <w:proofErr w:type="gramStart"/>
      <w:r w:rsidRPr="006A71A6">
        <w:rPr>
          <w:bCs/>
          <w:sz w:val="26"/>
          <w:szCs w:val="26"/>
        </w:rPr>
        <w:t>направлении</w:t>
      </w:r>
      <w:proofErr w:type="gramEnd"/>
      <w:r w:rsidRPr="006A71A6">
        <w:rPr>
          <w:bCs/>
          <w:sz w:val="26"/>
          <w:szCs w:val="26"/>
        </w:rPr>
        <w:t xml:space="preserve"> на медицинское обследование лиц, освободившихся из мест лишения свободы, условно осужденных лиц, в том числе с целью прохождения диспансеризации</w:t>
      </w:r>
      <w:r>
        <w:rPr>
          <w:bCs/>
          <w:sz w:val="26"/>
          <w:szCs w:val="26"/>
        </w:rPr>
        <w:t>.</w:t>
      </w:r>
    </w:p>
    <w:p w:rsidR="005A28CE" w:rsidRDefault="005A28CE" w:rsidP="005A28CE">
      <w:pPr>
        <w:pStyle w:val="a4"/>
        <w:ind w:firstLine="284"/>
        <w:rPr>
          <w:bCs/>
          <w:sz w:val="26"/>
          <w:szCs w:val="26"/>
        </w:rPr>
      </w:pPr>
      <w:r>
        <w:rPr>
          <w:bCs/>
          <w:sz w:val="26"/>
          <w:szCs w:val="26"/>
        </w:rPr>
        <w:t>2.7. Н</w:t>
      </w:r>
      <w:r w:rsidRPr="006A71A6">
        <w:rPr>
          <w:bCs/>
          <w:sz w:val="26"/>
          <w:szCs w:val="26"/>
        </w:rPr>
        <w:t>аправление ходатайств о восстановлении утраченных документов (паспорт, аттестат и др.),  а также кандидатов, желающих пройти краткосрочное обучение с целью получения востребованной на рынке труда специальности из числа ранее судимых лиц,  на рассмотрение  Межведомственной комиссии для решения вопроса выделения финансовых средств на указанные цели</w:t>
      </w:r>
      <w:r>
        <w:rPr>
          <w:bCs/>
          <w:sz w:val="26"/>
          <w:szCs w:val="26"/>
        </w:rPr>
        <w:t>.</w:t>
      </w:r>
    </w:p>
    <w:p w:rsidR="005A28CE" w:rsidRDefault="005A28CE" w:rsidP="005A28CE">
      <w:pPr>
        <w:pStyle w:val="a4"/>
        <w:ind w:firstLine="284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2.8. В</w:t>
      </w:r>
      <w:r w:rsidRPr="006A71A6">
        <w:rPr>
          <w:color w:val="000000"/>
          <w:sz w:val="26"/>
          <w:szCs w:val="26"/>
        </w:rPr>
        <w:t xml:space="preserve">ыявление и участие в </w:t>
      </w:r>
      <w:proofErr w:type="gramStart"/>
      <w:r w:rsidRPr="006A71A6">
        <w:rPr>
          <w:color w:val="000000"/>
          <w:sz w:val="26"/>
          <w:szCs w:val="26"/>
        </w:rPr>
        <w:t>обеспечении</w:t>
      </w:r>
      <w:proofErr w:type="gramEnd"/>
      <w:r w:rsidRPr="006A71A6">
        <w:rPr>
          <w:color w:val="000000"/>
          <w:sz w:val="26"/>
          <w:szCs w:val="26"/>
        </w:rPr>
        <w:t xml:space="preserve"> оперативного прикрытия мест концентрации ранее судимых и других лиц, ведущих антиобщественный образ жизни</w:t>
      </w:r>
      <w:r>
        <w:rPr>
          <w:color w:val="000000"/>
          <w:sz w:val="26"/>
          <w:szCs w:val="26"/>
        </w:rPr>
        <w:t>.</w:t>
      </w:r>
    </w:p>
    <w:p w:rsidR="005A28CE" w:rsidRPr="006A71A6" w:rsidRDefault="005A28CE" w:rsidP="005A28CE">
      <w:pPr>
        <w:pStyle w:val="a4"/>
        <w:ind w:firstLine="284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2.9.  Р</w:t>
      </w:r>
      <w:r w:rsidRPr="006A71A6">
        <w:rPr>
          <w:color w:val="000000"/>
          <w:sz w:val="26"/>
          <w:szCs w:val="26"/>
        </w:rPr>
        <w:t>азработка рекомендаций Совету профилактики правонарушений поселения и Межведомственной комиссии по принятию иных мер профилактического воздействия в отношении лиц, освободившихся из мест лишения свободы, условно осужденных лиц</w:t>
      </w:r>
      <w:r w:rsidRPr="006A71A6">
        <w:rPr>
          <w:bCs/>
          <w:sz w:val="26"/>
          <w:szCs w:val="26"/>
        </w:rPr>
        <w:t xml:space="preserve">, зарегистрированных на территории поселения.   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Рассмотрение вопросов, связанных с обеспечением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своевременной регистрацией лиц, вышедших из мест лишения свободы.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целях выполнения возложенных задач Комиссия: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Запрашивает документы, необходимые для полного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объективного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 вопросов по оказанию помощи лицам,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вышедшим из мест лишения свободы, в их трудоустройстве, социальной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адаптации.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Приглашает на заседания конкретных лиц, вышедших из 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свободы, и участкового уполномоченного полиции,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 участке которого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проживает это лицо.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Оказывает содействие лицам, вышедшим из мест лишения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свободы, в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получении</w:t>
      </w:r>
      <w:proofErr w:type="gramEnd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необходимой информации о наличии вакантных мест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их трудоустройстве.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2.11.4. Осуществляет иные действия, не противоречащие законодательству Российской Федерации и Чувашской Республики.  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3.Порядок формирования и деятельности Комиссии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Заседания комиссии проводятся в соответствии с планом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Комиссии, но не реже одного раза в квартал, либо при 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безотлагательного рассмотрения вопросов, входящих в её компетенцию.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материалов к заседанию Комиссии 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секретарем наблюдательной комиссии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Материалы должны быть предоставлены в Комиссию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 5 дней до дня проведения заседания.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Комиссии являются открытыми. Заседание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считается правомочным, если на нем присутствует более 50 процентов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числа членов Комиссии. Решения Комиссии принимаются открытым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голосованием простым большинством голосов от числа присутствующих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заседании членов Комиссии. В случае равенства голосов голос председателя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является решающим.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(глава администрации поселения)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Решения, принятые Комиссией носят рекомендательный характер.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3.3. Председатель Комиссии: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руководство деятельностью Комиссии;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утверждает планы работы Комиссии и принятые Комиссией решения;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утверждает положения о рабочих группах Комиссии;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рабочих групп Комиссии;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решения о проведении заседания Комиссии 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 безотлагательных рассмотрений вопросов, входящих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Комиссии;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распределяет обязанности между членами Комиссии.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Члены Комиссии обязаны: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присутствовать на заседаниях Комиссии, участвовать в обсуждении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рассматриваемых вопросов и выработке по ним решений;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невозможности присутствия на заседаниях заблаговременно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извещать об этом ответственного секретаря Комиссии;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proofErr w:type="gramEnd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необходимости направлять ответственному секретарю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свое мнение по вопросам повестки дня в письменном виде.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Ответственный секретарь Комиссии: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принятых Комиссией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ведет протоколы заседаний Комиссии, готовит планы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и соответствующие документы к заседаниям;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обобщает аналитические документы по вопросам, связанным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реализацией Программы, осуществляет оповещение членов Комиссии.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своевременное внесение всех необходимых изменений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и состав Комиссии, а также ведение делопроизводства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Комиссии.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</w:t>
      </w: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постановлению администрации 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Ойкас-Кибекского сельского поселения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Вурнарского района от  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.2019 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наблюдательной комиссии по социальной адаптации лиц,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освобожденных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</w:t>
      </w:r>
      <w:proofErr w:type="gramEnd"/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 Александр Васильевич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Ойкас-Кибекского сельского поселения,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п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профилактике правонарушений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A28CE" w:rsidRPr="006959F2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Гонча</w:t>
      </w:r>
      <w:r w:rsidR="001C41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Андрей Анатольевич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участковый уполномоченный полиции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A28CE" w:rsidRPr="006959F2" w:rsidRDefault="001C411F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Шоркина Надежда Николаевна – главный с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пециалист-эксперт, координирующий работу по профилактике правонарушений.</w:t>
      </w:r>
    </w:p>
    <w:p w:rsidR="005A28CE" w:rsidRDefault="005A28CE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8CE" w:rsidRDefault="001C411F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Степанов Николай Вячеслави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ч-</w:t>
      </w:r>
      <w:proofErr w:type="gramEnd"/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 Ойкас-Кибекского сельского поселения </w:t>
      </w:r>
      <w:r w:rsidR="005A28CE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8CE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28CE" w:rsidRDefault="001C411F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Петрова Валентина Викторовна – библиотекарь Янишевской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библиотеки </w:t>
      </w:r>
      <w:r w:rsidR="005A28CE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8CE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A28CE" w:rsidRDefault="001C411F" w:rsidP="005A28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Петрова Галина Васильевна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староста деревни Вурман-Кибеки </w:t>
      </w:r>
      <w:r w:rsidR="005A28CE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8CE"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согласованию)</w:t>
      </w:r>
      <w:r w:rsidR="005A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5A28CE" w:rsidRDefault="005A28CE" w:rsidP="005A2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5A28CE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наблюдательной комиссии по социальной адаптации лиц,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освобожденных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свободы,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proofErr w:type="gramEnd"/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аседание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.____________(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Докладчик:____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аседание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.____________(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Докладчик:____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аседание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.____________(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Докладчик:____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аседание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проведения: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.____________(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Докладчик:____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Докладчик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8CE" w:rsidRPr="00D266C5" w:rsidRDefault="005A28CE" w:rsidP="005A2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66C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Примерные вопросы: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деятельности Наблюдательной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по социальной адаптации 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освободившихся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 лишения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мероприятиях по учету и социальной адаптации лиц,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освободившихся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proofErr w:type="spellEnd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Прохождение флюорографического обследования лиц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освободившихся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 лишения свободы, как групп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риска, подлежащ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кратному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обследованию в течение года. Взаимодействие в работе членов комиссии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социальной адаптации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освободившихся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свободы,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привлечению подлежащего контингента к 2-х кратному обследованию.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взаимодействи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субъектов системы профилактики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безнадзорности и правонарушений несовершеннолетних в 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подростков, освободившихся из учреждений уголовно-исполнительной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системы, по их устройству, социальной адаптации и реабилитации.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Ранее выявле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жестокого обращения с детьми в </w:t>
      </w:r>
      <w:proofErr w:type="gramStart"/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семьях</w:t>
      </w:r>
      <w:proofErr w:type="gramEnd"/>
      <w:r w:rsidRPr="00BA68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освободившихся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мест лишения свободы.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Привлечение к организации работы с осужденными представителей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общественных организаций.</w:t>
      </w:r>
    </w:p>
    <w:p w:rsidR="005A28CE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тематического приема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представителя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по правам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человека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Чувашской Республике по Вурнарскому району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 членами наблюдательной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по социальной адаптации лиц,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освободившихся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мест лишения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8CE" w:rsidRPr="006959F2" w:rsidRDefault="005A28CE" w:rsidP="005A2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т.п.</w:t>
      </w:r>
      <w:bookmarkStart w:id="0" w:name="_GoBack"/>
      <w:bookmarkEnd w:id="0"/>
    </w:p>
    <w:p w:rsidR="00744A4E" w:rsidRDefault="001C411F"/>
    <w:sectPr w:rsidR="00744A4E" w:rsidSect="0054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C5E"/>
    <w:multiLevelType w:val="hybridMultilevel"/>
    <w:tmpl w:val="8A429376"/>
    <w:lvl w:ilvl="0" w:tplc="98081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28CE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1C411F"/>
    <w:rsid w:val="001E1668"/>
    <w:rsid w:val="0021518A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12C2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A28CE"/>
    <w:rsid w:val="005B04D7"/>
    <w:rsid w:val="005B08ED"/>
    <w:rsid w:val="005C713F"/>
    <w:rsid w:val="005D2EC3"/>
    <w:rsid w:val="005E4758"/>
    <w:rsid w:val="005F2549"/>
    <w:rsid w:val="00606D2F"/>
    <w:rsid w:val="00633F14"/>
    <w:rsid w:val="00646696"/>
    <w:rsid w:val="00647978"/>
    <w:rsid w:val="00651619"/>
    <w:rsid w:val="00690157"/>
    <w:rsid w:val="00691F6A"/>
    <w:rsid w:val="0069307B"/>
    <w:rsid w:val="006E1BBD"/>
    <w:rsid w:val="006E45C3"/>
    <w:rsid w:val="006E64CB"/>
    <w:rsid w:val="006F064A"/>
    <w:rsid w:val="00733C77"/>
    <w:rsid w:val="00786783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B7DBA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5221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0127B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753B2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CE"/>
    <w:pPr>
      <w:ind w:left="720"/>
      <w:contextualSpacing/>
    </w:pPr>
  </w:style>
  <w:style w:type="paragraph" w:styleId="a4">
    <w:name w:val="Body Text"/>
    <w:basedOn w:val="a"/>
    <w:link w:val="a5"/>
    <w:rsid w:val="005A28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A28CE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Таблицы (моноширинный)"/>
    <w:basedOn w:val="a"/>
    <w:next w:val="a"/>
    <w:rsid w:val="005A28C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A28CE"/>
    <w:rPr>
      <w:b/>
      <w:bCs/>
      <w:color w:val="000080"/>
    </w:rPr>
  </w:style>
  <w:style w:type="paragraph" w:customStyle="1" w:styleId="a8">
    <w:name w:val="Нормальный"/>
    <w:rsid w:val="001C411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2019-10-21T12:15:00Z</cp:lastPrinted>
  <dcterms:created xsi:type="dcterms:W3CDTF">2019-10-21T10:28:00Z</dcterms:created>
  <dcterms:modified xsi:type="dcterms:W3CDTF">2019-10-21T12:16:00Z</dcterms:modified>
</cp:coreProperties>
</file>