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66" w:rsidRPr="003A7366" w:rsidRDefault="003A7366" w:rsidP="003A7366">
      <w:pPr>
        <w:spacing w:after="0" w:line="240" w:lineRule="auto"/>
        <w:ind w:right="430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4195"/>
        <w:gridCol w:w="1173"/>
        <w:gridCol w:w="4203"/>
      </w:tblGrid>
      <w:tr w:rsidR="003A7366" w:rsidRPr="003A7366" w:rsidTr="00E73359">
        <w:trPr>
          <w:cantSplit/>
          <w:trHeight w:val="435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6" w:rsidRPr="003A7366" w:rsidRDefault="003A7366" w:rsidP="003A7366">
            <w:pPr>
              <w:widowControl w:val="0"/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ЧĂВАШ РЕСПУБЛИКИН</w:t>
            </w:r>
          </w:p>
          <w:p w:rsidR="003A7366" w:rsidRPr="003A7366" w:rsidRDefault="003A7366" w:rsidP="003A7366">
            <w:pPr>
              <w:widowControl w:val="0"/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ЙĚПРЕÇ РАЙОН</w:t>
            </w:r>
            <w:r w:rsidRPr="003A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ĚНЧИ</w:t>
            </w:r>
          </w:p>
        </w:tc>
        <w:tc>
          <w:tcPr>
            <w:tcW w:w="11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6" w:rsidRPr="003A7366" w:rsidRDefault="003A7366" w:rsidP="003A736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-172085</wp:posOffset>
                  </wp:positionV>
                  <wp:extent cx="733425" cy="723900"/>
                  <wp:effectExtent l="19050" t="0" r="9525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6" w:rsidRPr="003A7366" w:rsidRDefault="003A7366" w:rsidP="003A7366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3A7366" w:rsidRPr="003A7366" w:rsidRDefault="003A7366" w:rsidP="003A7366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ИБРЕСИНСКИЙ РАЙОН</w:t>
            </w:r>
            <w:r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A7366" w:rsidRPr="003A7366" w:rsidTr="00E73359">
        <w:trPr>
          <w:cantSplit/>
          <w:trHeight w:val="2325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6" w:rsidRPr="003A7366" w:rsidRDefault="003A7366" w:rsidP="003A736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en-US"/>
              </w:rPr>
            </w:pPr>
          </w:p>
          <w:p w:rsidR="003A7366" w:rsidRPr="003A7366" w:rsidRDefault="00010C95" w:rsidP="003A7366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en-US"/>
              </w:rPr>
              <w:t xml:space="preserve">БЕРЕЗОВКА </w:t>
            </w:r>
            <w:r w:rsidR="003A7366" w:rsidRPr="003A7366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en-US"/>
              </w:rPr>
              <w:t xml:space="preserve"> ял</w:t>
            </w:r>
            <w:r w:rsidR="003A7366" w:rsidRPr="003A73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ПОСЕЛЕНИЙĚН АДМИНИСТРАЦИЙĚ</w:t>
            </w:r>
          </w:p>
          <w:p w:rsidR="003A7366" w:rsidRPr="003A7366" w:rsidRDefault="003A7366" w:rsidP="003A7366">
            <w:pPr>
              <w:widowControl w:val="0"/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zh-CN"/>
              </w:rPr>
              <w:t>ЙЫШĂНУ</w:t>
            </w:r>
          </w:p>
          <w:p w:rsidR="003A7366" w:rsidRPr="003A7366" w:rsidRDefault="003A7366" w:rsidP="003A7366">
            <w:pPr>
              <w:widowControl w:val="0"/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A7366" w:rsidRPr="003A7366" w:rsidRDefault="003A7366" w:rsidP="003A7366">
            <w:pPr>
              <w:widowControl w:val="0"/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7A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19.06.</w:t>
            </w:r>
            <w:r w:rsidR="0001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2019</w:t>
            </w:r>
            <w:r w:rsidR="007A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с.</w:t>
            </w:r>
            <w:r w:rsidR="0001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A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  <w:r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3A7366" w:rsidRPr="003A7366" w:rsidRDefault="00010C95" w:rsidP="003A73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Березовка</w:t>
            </w:r>
            <w:r w:rsidR="003A7366" w:rsidRPr="003A7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7366" w:rsidRPr="003A7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поселокĕ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6" w:rsidRPr="003A7366" w:rsidRDefault="003A7366" w:rsidP="003A7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6" w:rsidRPr="003A7366" w:rsidRDefault="003A7366" w:rsidP="003A7366">
            <w:pPr>
              <w:widowControl w:val="0"/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3A7366" w:rsidRPr="003A7366" w:rsidRDefault="00010C95" w:rsidP="003A7366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БЕРЕЗ</w:t>
            </w:r>
            <w:r w:rsidR="003A7366" w:rsidRPr="003A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ОВСКОГО СЕЛЬСКОГО ПОСЕЛЕНИЯ</w:t>
            </w:r>
            <w:r w:rsidR="003A7366"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A7366" w:rsidRPr="003A7366" w:rsidRDefault="003A7366" w:rsidP="003A7366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7366" w:rsidRPr="003A7366" w:rsidRDefault="003A7366" w:rsidP="003A7366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zh-CN"/>
              </w:rPr>
              <w:t>ПОСТАНОВЛЕНИЕ</w:t>
            </w:r>
          </w:p>
          <w:p w:rsidR="003A7366" w:rsidRPr="003A7366" w:rsidRDefault="003A7366" w:rsidP="003A7366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7366" w:rsidRPr="003A7366" w:rsidRDefault="003A7366" w:rsidP="003A73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7A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19.06</w:t>
            </w:r>
            <w:r w:rsidR="0001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.2019</w:t>
            </w:r>
            <w:r w:rsidR="007A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</w:t>
            </w:r>
            <w:r w:rsidRPr="003A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3A73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="007A78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Pr="003A73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A7366" w:rsidRPr="003A7366" w:rsidRDefault="003A7366" w:rsidP="003A736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A73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поселок Б</w:t>
            </w:r>
            <w:r w:rsidR="00010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ерезовка</w:t>
            </w:r>
          </w:p>
        </w:tc>
      </w:tr>
    </w:tbl>
    <w:p w:rsidR="003A7366" w:rsidRPr="003A7366" w:rsidRDefault="003A7366" w:rsidP="003A736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366" w:rsidRPr="00010C95" w:rsidRDefault="007A7804" w:rsidP="003A73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A7366" w:rsidRPr="003A7366" w:rsidRDefault="004D2675" w:rsidP="003A7366">
      <w:pPr>
        <w:tabs>
          <w:tab w:val="left" w:pos="4111"/>
        </w:tabs>
        <w:spacing w:after="0" w:line="240" w:lineRule="auto"/>
        <w:ind w:right="57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3A7366"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 w:rsidR="003A7366"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административный</w:t>
      </w:r>
      <w:proofErr w:type="gramEnd"/>
      <w:r w:rsidR="003A7366"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A7366" w:rsidRPr="003A7366" w:rsidRDefault="003A7366" w:rsidP="003A7366">
      <w:pPr>
        <w:tabs>
          <w:tab w:val="left" w:pos="4111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регламент по предоставлению  </w:t>
      </w:r>
      <w:proofErr w:type="gramStart"/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proofErr w:type="gramEnd"/>
    </w:p>
    <w:p w:rsidR="003A7366" w:rsidRPr="003A7366" w:rsidRDefault="003A7366" w:rsidP="003A7366">
      <w:pPr>
        <w:tabs>
          <w:tab w:val="left" w:pos="4111"/>
        </w:tabs>
        <w:spacing w:after="0" w:line="240" w:lineRule="auto"/>
        <w:ind w:right="57"/>
        <w:rPr>
          <w:rFonts w:ascii="Calibri" w:eastAsia="Calibri" w:hAnsi="Calibri" w:cs="Times New Roman"/>
          <w:lang w:eastAsia="en-US"/>
        </w:rPr>
      </w:pPr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услуги </w:t>
      </w:r>
      <w:r w:rsidRPr="003A73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«Предоставление разрешения </w:t>
      </w:r>
      <w:proofErr w:type="gramStart"/>
      <w:r w:rsidRPr="003A73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</w:t>
      </w:r>
      <w:proofErr w:type="gramEnd"/>
      <w:r w:rsidRPr="003A73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3A7366" w:rsidRPr="003A7366" w:rsidRDefault="003A7366" w:rsidP="003A7366">
      <w:pPr>
        <w:tabs>
          <w:tab w:val="left" w:pos="4111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отклонение от предельных параметров </w:t>
      </w:r>
    </w:p>
    <w:p w:rsidR="003A7366" w:rsidRPr="003A7366" w:rsidRDefault="003A7366" w:rsidP="003A7366">
      <w:pPr>
        <w:tabs>
          <w:tab w:val="left" w:pos="4111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разрешенного строительства, реконструкции </w:t>
      </w:r>
    </w:p>
    <w:p w:rsidR="003A7366" w:rsidRPr="003A7366" w:rsidRDefault="003A7366" w:rsidP="003A7366">
      <w:pPr>
        <w:tabs>
          <w:tab w:val="left" w:pos="4111"/>
        </w:tabs>
        <w:spacing w:after="0" w:line="240" w:lineRule="auto"/>
        <w:ind w:right="57"/>
        <w:rPr>
          <w:rFonts w:ascii="Calibri" w:eastAsia="Calibri" w:hAnsi="Calibri" w:cs="Times New Roman"/>
          <w:lang w:eastAsia="en-US"/>
        </w:rPr>
      </w:pPr>
      <w:r w:rsidRPr="003A73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объектов капитального строительства»</w:t>
      </w:r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</w:p>
    <w:p w:rsidR="003A7366" w:rsidRPr="003A7366" w:rsidRDefault="003A7366" w:rsidP="003A7366">
      <w:pPr>
        <w:tabs>
          <w:tab w:val="left" w:pos="4111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утвержденный</w:t>
      </w:r>
      <w:proofErr w:type="gramEnd"/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постановлением администрации </w:t>
      </w:r>
    </w:p>
    <w:p w:rsidR="003A7366" w:rsidRPr="003A7366" w:rsidRDefault="00010C95" w:rsidP="003A7366">
      <w:pPr>
        <w:tabs>
          <w:tab w:val="left" w:pos="4111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Березовского</w:t>
      </w:r>
      <w:r w:rsidR="003A7366"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Ибресинского</w:t>
      </w:r>
    </w:p>
    <w:p w:rsidR="003A7366" w:rsidRPr="003A7366" w:rsidRDefault="003A7366" w:rsidP="003A7366">
      <w:pPr>
        <w:tabs>
          <w:tab w:val="left" w:pos="4111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</w:t>
      </w:r>
      <w:r w:rsidR="00010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айона Чувашской Республики от 22.05.2017 №19</w:t>
      </w:r>
    </w:p>
    <w:p w:rsidR="003A7366" w:rsidRPr="003A7366" w:rsidRDefault="003A7366" w:rsidP="003A7366">
      <w:pPr>
        <w:spacing w:after="0" w:line="240" w:lineRule="auto"/>
        <w:ind w:right="430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7366" w:rsidRPr="003A7366" w:rsidRDefault="003A7366" w:rsidP="003A7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Градостроительным  кодексом Российской Федерации,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 w:rsidR="00010C95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Ибресинского  района  </w:t>
      </w:r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 о с т а </w:t>
      </w:r>
      <w:proofErr w:type="spellStart"/>
      <w:proofErr w:type="gramStart"/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proofErr w:type="spellEnd"/>
      <w:proofErr w:type="gramEnd"/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в л я е т: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административный регламент по предоставлению администрацией </w:t>
      </w:r>
      <w:r w:rsidR="00010C95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</w:t>
      </w:r>
      <w:r w:rsidR="00010C95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 сельского поселения от 22.05.2017 № 19</w:t>
      </w: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следующие изменения: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в разделе II: 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A7366">
        <w:rPr>
          <w:rFonts w:ascii="Times New Roman" w:eastAsia="Calibri" w:hAnsi="Times New Roman" w:cs="Times New Roman"/>
          <w:lang w:eastAsia="en-US"/>
        </w:rPr>
        <w:t xml:space="preserve"> подпункт 2.2.2 пункта 2.2 дополнить абзацами следующего содержания: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sub_7141"/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sub_7142"/>
      <w:bookmarkEnd w:id="0"/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sub_7143"/>
      <w:bookmarkEnd w:id="1"/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2"/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- </w:t>
      </w: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A736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3A736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 г</w:t>
        </w:r>
      </w:smartTag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или муниципальной услуги</w:t>
      </w:r>
      <w:proofErr w:type="gramEnd"/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3A736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 г</w:t>
        </w:r>
      </w:smartTag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. № 210-ФЗ «Об организации предоставления государственных и муниципальных услуг</w:t>
      </w:r>
      <w:r w:rsidRPr="003A7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 неудобства.».</w:t>
      </w:r>
      <w:proofErr w:type="gramEnd"/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366" w:rsidRPr="004D2675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675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25 пункта 2.6 слова «публичных слушаний» заменить словами «общественных обсуждений или публичных слушаний»;</w:t>
      </w:r>
    </w:p>
    <w:p w:rsidR="003A7366" w:rsidRPr="004D2675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2.7 дополнить абзацем следующего содержания: </w:t>
      </w:r>
    </w:p>
    <w:p w:rsidR="003A7366" w:rsidRPr="004D2675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D2675">
        <w:rPr>
          <w:rFonts w:ascii="Times New Roman" w:eastAsia="Calibri" w:hAnsi="Times New Roman" w:cs="Times New Roman"/>
          <w:sz w:val="24"/>
          <w:szCs w:val="24"/>
          <w:lang w:eastAsia="en-US"/>
        </w:rPr>
        <w:t>«-поступление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в отношении земельного участка, на котором расположена такая постройка, до ее сноса или приведения в соответствие с установленными требованиями,  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</w:t>
      </w:r>
      <w:proofErr w:type="gramEnd"/>
      <w:r w:rsidRPr="004D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лицу, в государственное учреждение или орган местного самоуправления,  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2 пункта 2.8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1.2 в разделе III: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4 пункта 3.1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подпункте 3.1.4 пункта 3.1: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наименовании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1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2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3 слова «публичным слушаниям» заменить словами «общественным обсуждениям или публичным слушаниям»,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4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5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1 подпункта 3.1.5 пункта 3.1 слова «публичных слушаний» заменить словами «общественных обсуждений или публичных слушаний».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1.3 в приложении № 2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слова «публичных слушаний» заменить словами «общественных обсуждений или публичных слушаний»;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1.4 в приложении № 3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слова «публичных слушаний» заменить словами «общественных обсуждений или публичных слушаний».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постановление вступает в силу после дня его официального опубликования.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366" w:rsidRPr="003A7366" w:rsidRDefault="003A7366" w:rsidP="003A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366" w:rsidRPr="003A7366" w:rsidRDefault="003A7366" w:rsidP="003A7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 w:rsidR="00010C95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3A7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                                                   </w:t>
      </w:r>
      <w:r w:rsidR="00010C95">
        <w:rPr>
          <w:rFonts w:ascii="Times New Roman" w:eastAsia="Calibri" w:hAnsi="Times New Roman" w:cs="Times New Roman"/>
          <w:sz w:val="24"/>
          <w:szCs w:val="24"/>
          <w:lang w:eastAsia="en-US"/>
        </w:rPr>
        <w:t>Л.Н.Юрина</w:t>
      </w:r>
    </w:p>
    <w:p w:rsidR="00B91DB8" w:rsidRDefault="00B91DB8"/>
    <w:sectPr w:rsidR="00B91DB8" w:rsidSect="0038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A7366"/>
    <w:rsid w:val="00010C95"/>
    <w:rsid w:val="00384096"/>
    <w:rsid w:val="00386492"/>
    <w:rsid w:val="003A7366"/>
    <w:rsid w:val="004D2675"/>
    <w:rsid w:val="007A7804"/>
    <w:rsid w:val="00B9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4</cp:revision>
  <cp:lastPrinted>2019-06-04T12:28:00Z</cp:lastPrinted>
  <dcterms:created xsi:type="dcterms:W3CDTF">2019-06-04T08:45:00Z</dcterms:created>
  <dcterms:modified xsi:type="dcterms:W3CDTF">2019-06-20T16:10:00Z</dcterms:modified>
</cp:coreProperties>
</file>